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5BC9F66B"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FE4BC2">
        <w:rPr>
          <w:rFonts w:cs="Arial"/>
          <w:bCs/>
          <w:sz w:val="22"/>
          <w:szCs w:val="22"/>
        </w:rPr>
        <w:t>4</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4E7461" w:rsidRPr="006612ED">
        <w:rPr>
          <w:rFonts w:cs="Arial"/>
          <w:bCs/>
          <w:sz w:val="22"/>
          <w:szCs w:val="22"/>
        </w:rPr>
        <w:t>230</w:t>
      </w:r>
      <w:r w:rsidR="002619B4" w:rsidRPr="006612ED">
        <w:rPr>
          <w:rFonts w:cs="Arial"/>
          <w:bCs/>
          <w:sz w:val="22"/>
          <w:szCs w:val="22"/>
        </w:rPr>
        <w:t>6708</w:t>
      </w:r>
    </w:p>
    <w:p w14:paraId="2588BF02" w14:textId="334E6A7E" w:rsidR="00252563" w:rsidRDefault="00107120" w:rsidP="00B87E09">
      <w:pPr>
        <w:pStyle w:val="Header"/>
        <w:spacing w:before="120"/>
        <w:rPr>
          <w:rFonts w:eastAsiaTheme="minorEastAsia" w:cs="Arial"/>
          <w:lang w:eastAsia="zh-CN"/>
        </w:rPr>
      </w:pPr>
      <w:r w:rsidRPr="00107120">
        <w:rPr>
          <w:rFonts w:cs="Arial"/>
          <w:bCs/>
          <w:sz w:val="22"/>
          <w:szCs w:val="22"/>
        </w:rPr>
        <w:t>Toulouse, France, August 21</w:t>
      </w:r>
      <w:r w:rsidRPr="00107120">
        <w:rPr>
          <w:rFonts w:cs="Arial"/>
          <w:bCs/>
          <w:sz w:val="22"/>
          <w:szCs w:val="22"/>
          <w:vertAlign w:val="superscript"/>
        </w:rPr>
        <w:t>st</w:t>
      </w:r>
      <w:r w:rsidRPr="00107120">
        <w:rPr>
          <w:rFonts w:cs="Arial"/>
          <w:bCs/>
          <w:sz w:val="22"/>
          <w:szCs w:val="22"/>
        </w:rPr>
        <w:t xml:space="preserve"> - August 25</w:t>
      </w:r>
      <w:r w:rsidRPr="00107120">
        <w:rPr>
          <w:rFonts w:cs="Arial"/>
          <w:bCs/>
          <w:sz w:val="22"/>
          <w:szCs w:val="22"/>
          <w:vertAlign w:val="superscript"/>
        </w:rPr>
        <w:t>th</w:t>
      </w:r>
      <w:r w:rsidRPr="00107120">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36543230"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8E1E5E" w:rsidRPr="008E1E5E">
        <w:rPr>
          <w:rFonts w:cs="Arial"/>
          <w:sz w:val="22"/>
        </w:rPr>
        <w:t>Discussion</w:t>
      </w:r>
      <w:r w:rsidR="00845DE4">
        <w:rPr>
          <w:rFonts w:cs="Arial"/>
          <w:sz w:val="22"/>
        </w:rPr>
        <w:t>s</w:t>
      </w:r>
      <w:r w:rsidR="008E1E5E" w:rsidRPr="008E1E5E">
        <w:rPr>
          <w:rFonts w:cs="Arial"/>
          <w:sz w:val="22"/>
        </w:rPr>
        <w:t xml:space="preserve"> on RAN</w:t>
      </w:r>
      <w:r w:rsidR="00387B1B">
        <w:rPr>
          <w:rFonts w:cs="Arial"/>
          <w:sz w:val="22"/>
        </w:rPr>
        <w:t>4</w:t>
      </w:r>
      <w:r w:rsidR="008E1E5E" w:rsidRPr="008E1E5E">
        <w:rPr>
          <w:rFonts w:cs="Arial"/>
          <w:sz w:val="22"/>
        </w:rPr>
        <w:t xml:space="preserve"> LS on </w:t>
      </w:r>
      <w:r w:rsidR="00387B1B">
        <w:rPr>
          <w:rFonts w:cs="Arial"/>
          <w:sz w:val="22"/>
        </w:rPr>
        <w:t>UE features for NR ATG</w:t>
      </w:r>
    </w:p>
    <w:p w14:paraId="1D4FB9E3" w14:textId="085125B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676C5DF6" w14:textId="7B18AC87" w:rsidR="00756525" w:rsidRDefault="005067D8" w:rsidP="00756525">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56525">
        <w:rPr>
          <w:rFonts w:eastAsiaTheme="minorEastAsia"/>
          <w:lang w:eastAsia="zh-CN"/>
        </w:rPr>
        <w:t xml:space="preserve">views on </w:t>
      </w:r>
      <w:r w:rsidR="00472351" w:rsidRPr="00472351">
        <w:rPr>
          <w:rFonts w:eastAsiaTheme="minorEastAsia"/>
        </w:rPr>
        <w:t xml:space="preserve">UE features for NR ATG </w:t>
      </w:r>
      <w:r w:rsidR="00756525">
        <w:rPr>
          <w:rFonts w:eastAsiaTheme="minorEastAsia"/>
          <w:lang w:eastAsia="zh-CN"/>
        </w:rPr>
        <w:t>are provided</w:t>
      </w:r>
      <w:r w:rsidR="00797CB1">
        <w:rPr>
          <w:rFonts w:eastAsiaTheme="minorEastAsia"/>
          <w:lang w:eastAsia="zh-CN"/>
        </w:rPr>
        <w:t xml:space="preserve"> based on </w:t>
      </w:r>
      <w:r w:rsidR="00797CB1">
        <w:rPr>
          <w:rFonts w:eastAsia="宋体"/>
          <w:lang w:val="en-GB" w:eastAsia="zh-CN"/>
        </w:rPr>
        <w:t xml:space="preserve">the </w:t>
      </w:r>
      <w:r w:rsidR="00F93259">
        <w:rPr>
          <w:rFonts w:eastAsia="宋体"/>
          <w:lang w:val="en-GB" w:eastAsia="zh-CN"/>
        </w:rPr>
        <w:t xml:space="preserve">RAN4 </w:t>
      </w:r>
      <w:r w:rsidR="00797CB1">
        <w:rPr>
          <w:rFonts w:eastAsia="宋体"/>
          <w:lang w:val="en-GB" w:eastAsia="zh-CN"/>
        </w:rPr>
        <w:t xml:space="preserve">LS </w:t>
      </w:r>
      <w:r w:rsidR="00797CB1">
        <w:rPr>
          <w:rFonts w:eastAsiaTheme="minorEastAsia"/>
          <w:lang w:eastAsia="zh-CN"/>
        </w:rPr>
        <w:fldChar w:fldCharType="begin"/>
      </w:r>
      <w:r w:rsidR="00797CB1">
        <w:rPr>
          <w:rFonts w:eastAsiaTheme="minorEastAsia"/>
          <w:lang w:eastAsia="zh-CN"/>
        </w:rPr>
        <w:instrText xml:space="preserve"> REF _Ref92304356 \n \h </w:instrText>
      </w:r>
      <w:r w:rsidR="00797CB1">
        <w:rPr>
          <w:rFonts w:eastAsiaTheme="minorEastAsia"/>
          <w:lang w:eastAsia="zh-CN"/>
        </w:rPr>
      </w:r>
      <w:r w:rsidR="00797CB1">
        <w:rPr>
          <w:rFonts w:eastAsiaTheme="minorEastAsia"/>
          <w:lang w:eastAsia="zh-CN"/>
        </w:rPr>
        <w:fldChar w:fldCharType="separate"/>
      </w:r>
      <w:r w:rsidR="00797CB1">
        <w:rPr>
          <w:rFonts w:eastAsiaTheme="minorEastAsia"/>
          <w:lang w:eastAsia="zh-CN"/>
        </w:rPr>
        <w:t>[1]</w:t>
      </w:r>
      <w:r w:rsidR="00797CB1">
        <w:rPr>
          <w:rFonts w:eastAsiaTheme="minorEastAsia"/>
          <w:lang w:eastAsia="zh-CN"/>
        </w:rPr>
        <w:fldChar w:fldCharType="end"/>
      </w:r>
      <w:r w:rsidR="004C4E5F">
        <w:rPr>
          <w:rFonts w:eastAsiaTheme="minorEastAsia"/>
          <w:lang w:eastAsia="zh-CN"/>
        </w:rPr>
        <w:t>.</w:t>
      </w:r>
    </w:p>
    <w:bookmarkEnd w:id="0"/>
    <w:bookmarkEnd w:id="1"/>
    <w:bookmarkEnd w:id="2"/>
    <w:p w14:paraId="5B86B3FE" w14:textId="77777777" w:rsidR="00CE04E0" w:rsidRDefault="00CE04E0" w:rsidP="00CE04E0">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5EB60183" w14:textId="4FE5AEBB" w:rsidR="00CE04E0" w:rsidRDefault="00CE04E0" w:rsidP="00CE04E0">
      <w:pPr>
        <w:pStyle w:val="BodyText"/>
        <w:spacing w:before="120"/>
        <w:rPr>
          <w:rFonts w:ascii="Times New Roman" w:eastAsiaTheme="minorEastAsia" w:hAnsi="Times New Roman"/>
          <w:lang w:eastAsia="zh-CN"/>
        </w:rPr>
      </w:pPr>
      <w:r>
        <w:rPr>
          <w:rFonts w:ascii="Times New Roman" w:eastAsiaTheme="minorEastAsia" w:hAnsi="Times New Roman"/>
          <w:lang w:eastAsia="zh-CN"/>
        </w:rPr>
        <w:t>In the LS from RAN</w:t>
      </w:r>
      <w:r w:rsidR="00634454">
        <w:rPr>
          <w:rFonts w:ascii="Times New Roman" w:eastAsiaTheme="minorEastAsia" w:hAnsi="Times New Roman"/>
          <w:lang w:eastAsia="zh-CN"/>
        </w:rPr>
        <w:t>4</w:t>
      </w:r>
      <w:r>
        <w:rPr>
          <w:rFonts w:ascii="Times New Roman" w:eastAsiaTheme="minorEastAsia" w:hAnsi="Times New Roman"/>
          <w:lang w:eastAsia="zh-CN"/>
        </w:rPr>
        <w:t xml:space="preserve">, </w:t>
      </w:r>
      <w:r w:rsidR="00730843">
        <w:rPr>
          <w:rFonts w:ascii="Times New Roman" w:eastAsiaTheme="minorEastAsia" w:hAnsi="Times New Roman"/>
          <w:lang w:eastAsia="zh-CN"/>
        </w:rPr>
        <w:t xml:space="preserve">following information </w:t>
      </w:r>
      <w:r w:rsidR="007D0551">
        <w:rPr>
          <w:rFonts w:ascii="Times New Roman" w:eastAsiaTheme="minorEastAsia" w:hAnsi="Times New Roman"/>
          <w:lang w:eastAsia="zh-CN"/>
        </w:rPr>
        <w:t>has been</w:t>
      </w:r>
      <w:r w:rsidR="00730843">
        <w:rPr>
          <w:rFonts w:ascii="Times New Roman" w:eastAsiaTheme="minorEastAsia" w:hAnsi="Times New Roman"/>
          <w:lang w:eastAsia="zh-CN"/>
        </w:rPr>
        <w:t xml:space="preserve"> provided </w:t>
      </w:r>
      <w:r w:rsidR="002B58F8">
        <w:rPr>
          <w:rFonts w:ascii="Times New Roman" w:eastAsiaTheme="minorEastAsia" w:hAnsi="Times New Roman"/>
          <w:lang w:eastAsia="zh-CN"/>
        </w:rPr>
        <w:t xml:space="preserve">on </w:t>
      </w:r>
      <w:r w:rsidR="00BE4AA6">
        <w:rPr>
          <w:rFonts w:ascii="Times New Roman" w:eastAsiaTheme="minorEastAsia" w:hAnsi="Times New Roman"/>
          <w:lang w:eastAsia="zh-CN"/>
        </w:rPr>
        <w:t>whether some enhancements defined for NTN can be applied to</w:t>
      </w:r>
      <w:r w:rsidR="00BE4AA6" w:rsidRPr="00472351">
        <w:rPr>
          <w:rFonts w:eastAsiaTheme="minorEastAsia"/>
        </w:rPr>
        <w:t xml:space="preserve"> NR ATG</w:t>
      </w:r>
      <w:r w:rsidR="00CB657C">
        <w:rPr>
          <w:rFonts w:eastAsiaTheme="minorEastAsia"/>
        </w:rPr>
        <w:t xml:space="preserve"> band wherein</w:t>
      </w:r>
      <w:r w:rsidR="007D0551">
        <w:rPr>
          <w:rFonts w:eastAsiaTheme="minorEastAsia"/>
        </w:rPr>
        <w:t xml:space="preserve"> a large guard period is needed to mitigate interference from DL to UL</w:t>
      </w:r>
      <w:r>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234C96" w:rsidRPr="00176E2C" w14:paraId="5121ACC6" w14:textId="77777777" w:rsidTr="00234C96">
        <w:tc>
          <w:tcPr>
            <w:tcW w:w="9631" w:type="dxa"/>
          </w:tcPr>
          <w:p w14:paraId="4BEDDE7C" w14:textId="77777777" w:rsidR="00FF5634" w:rsidRPr="00FF5634" w:rsidRDefault="00FF5634" w:rsidP="00FF5634">
            <w:pPr>
              <w:spacing w:beforeLines="0" w:before="0"/>
              <w:rPr>
                <w:rFonts w:eastAsia="宋体"/>
                <w:lang w:eastAsia="zh-CN"/>
              </w:rPr>
            </w:pPr>
            <w:r w:rsidRPr="00FF5634">
              <w:rPr>
                <w:rFonts w:eastAsia="宋体"/>
                <w:lang w:eastAsia="zh-CN"/>
              </w:rPr>
              <w:t xml:space="preserve">In ATG deployment scenario, the distance between ATG UE and BS may achieve 250km, a large guard period is required to prevent interference from DL to UL. In RAN4#107 meeting, RAN4 is discussing possible solutions to mitigate the guard period impact. </w:t>
            </w:r>
          </w:p>
          <w:p w14:paraId="7F7D0752" w14:textId="77777777" w:rsidR="00FF5634" w:rsidRPr="00FF5634" w:rsidRDefault="00FF5634" w:rsidP="00FF5634">
            <w:pPr>
              <w:spacing w:beforeLines="0" w:before="0"/>
              <w:rPr>
                <w:rFonts w:eastAsia="宋体"/>
                <w:lang w:eastAsia="zh-CN"/>
              </w:rPr>
            </w:pPr>
            <w:r w:rsidRPr="00FF5634">
              <w:rPr>
                <w:rFonts w:eastAsia="宋体"/>
                <w:lang w:eastAsia="zh-CN"/>
              </w:rPr>
              <w:t xml:space="preserve">RAN4 agreed that TDD pattern (30D4S6U) together with the features ‘Increasing the number of HARQ processes’ and ‘K1 range extension’ can be considered as one of possible solutions to mitigate the guard period impact for Rel-18 ATG scenario. </w:t>
            </w:r>
          </w:p>
          <w:p w14:paraId="7A8ED18B" w14:textId="77777777" w:rsidR="00FF5634" w:rsidRPr="00FF5634" w:rsidRDefault="00FF5634" w:rsidP="00FF5634">
            <w:pPr>
              <w:spacing w:beforeLines="0" w:before="0"/>
              <w:rPr>
                <w:rFonts w:eastAsia="宋体"/>
                <w:lang w:eastAsia="zh-CN"/>
              </w:rPr>
            </w:pPr>
            <w:r w:rsidRPr="00FF5634">
              <w:rPr>
                <w:rFonts w:eastAsia="宋体"/>
                <w:lang w:eastAsia="zh-CN"/>
              </w:rPr>
              <w:t xml:space="preserve">UE features 26-5 ‘Increasing the number of HARQ processes’ and 26-10 ‘K1 range extension’ had been introduced by RAN1 in Rel-17 NTN. Recall the discussion of RAN1 Rel-17 NTN, RAN1 also explicitly agreed that such two UE capabilities can be used for ATG scenario. However, due to no ATG operating bands at that time, the applicable scenario of these two features didn’t include ATG scenario. </w:t>
            </w:r>
          </w:p>
          <w:p w14:paraId="5409ABF8" w14:textId="77777777" w:rsidR="00FF5634" w:rsidRPr="00FF5634" w:rsidRDefault="00FF5634" w:rsidP="00FF5634">
            <w:pPr>
              <w:spacing w:beforeLines="0" w:before="0"/>
              <w:rPr>
                <w:rFonts w:eastAsia="宋体"/>
                <w:lang w:eastAsia="zh-CN"/>
              </w:rPr>
            </w:pPr>
            <w:r w:rsidRPr="00FF5634">
              <w:rPr>
                <w:rFonts w:eastAsia="宋体"/>
                <w:lang w:eastAsia="zh-CN"/>
              </w:rPr>
              <w:t>In Rel-18 ATG WI, RAN4 has already defined ATG operating bands in TR 38.876, and it will also be specified in TS 38.101-1 and 38.104.</w:t>
            </w:r>
          </w:p>
          <w:p w14:paraId="61C802D6" w14:textId="12172748" w:rsidR="00EF7131" w:rsidRPr="00176E2C" w:rsidRDefault="00FF5634" w:rsidP="00FF5634">
            <w:pPr>
              <w:spacing w:beforeLines="0" w:before="0"/>
              <w:rPr>
                <w:b/>
                <w:color w:val="000000"/>
                <w:lang w:eastAsia="zh-CN"/>
              </w:rPr>
            </w:pPr>
            <w:r w:rsidRPr="00FF5634">
              <w:rPr>
                <w:rFonts w:eastAsia="宋体"/>
                <w:lang w:eastAsia="zh-CN"/>
              </w:rPr>
              <w:t>Considering all the information above, RAN4 would like to respectfully ask RAN1 to check that if the UE features 26-5 ‘Increasing the number of HARQ processes’ and 26-10 ‘K1 range extension’ can be used for Rel-18 NR ATG.</w:t>
            </w:r>
          </w:p>
        </w:tc>
      </w:tr>
    </w:tbl>
    <w:p w14:paraId="23156382" w14:textId="6DF74C3C" w:rsidR="00065015" w:rsidRPr="00D71317" w:rsidRDefault="00065015" w:rsidP="00473E46">
      <w:pPr>
        <w:pStyle w:val="BodyText"/>
        <w:spacing w:before="120"/>
        <w:rPr>
          <w:rFonts w:ascii="Times New Roman" w:eastAsia="宋体" w:hAnsi="Times New Roman"/>
          <w:lang w:eastAsia="zh-CN"/>
        </w:rPr>
      </w:pPr>
      <w:r w:rsidRPr="00D71317">
        <w:rPr>
          <w:rFonts w:ascii="Times New Roman" w:eastAsia="宋体" w:hAnsi="Times New Roman"/>
          <w:lang w:eastAsia="zh-CN"/>
        </w:rPr>
        <w:t>UE features 26-5 ‘Increasing the number of HARQ processes’ and 26-10 ‘</w:t>
      </w:r>
      <w:bookmarkStart w:id="3" w:name="_Hlk141913398"/>
      <w:r w:rsidRPr="00D71317">
        <w:rPr>
          <w:rFonts w:ascii="Times New Roman" w:eastAsia="宋体" w:hAnsi="Times New Roman"/>
          <w:lang w:eastAsia="zh-CN"/>
        </w:rPr>
        <w:t>K1 range extension</w:t>
      </w:r>
      <w:bookmarkEnd w:id="3"/>
      <w:r w:rsidRPr="00D71317">
        <w:rPr>
          <w:rFonts w:ascii="Times New Roman" w:eastAsia="宋体" w:hAnsi="Times New Roman"/>
          <w:lang w:eastAsia="zh-CN"/>
        </w:rPr>
        <w:t>’ are defined as following for NTN in NR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61"/>
        <w:gridCol w:w="721"/>
        <w:gridCol w:w="842"/>
        <w:gridCol w:w="750"/>
        <w:gridCol w:w="1049"/>
        <w:gridCol w:w="665"/>
        <w:gridCol w:w="817"/>
        <w:gridCol w:w="817"/>
        <w:gridCol w:w="1322"/>
        <w:gridCol w:w="1089"/>
      </w:tblGrid>
      <w:tr w:rsidR="00700099" w:rsidRPr="00F41679" w14:paraId="42B98C26" w14:textId="77777777" w:rsidTr="00700099">
        <w:tc>
          <w:tcPr>
            <w:tcW w:w="1192" w:type="dxa"/>
            <w:tcBorders>
              <w:top w:val="single" w:sz="4" w:space="0" w:color="auto"/>
              <w:left w:val="single" w:sz="4" w:space="0" w:color="auto"/>
              <w:bottom w:val="single" w:sz="4" w:space="0" w:color="auto"/>
              <w:right w:val="single" w:sz="4" w:space="0" w:color="auto"/>
            </w:tcBorders>
            <w:shd w:val="clear" w:color="auto" w:fill="auto"/>
          </w:tcPr>
          <w:p w14:paraId="5E44FB66"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Features</w:t>
            </w:r>
          </w:p>
        </w:tc>
        <w:tc>
          <w:tcPr>
            <w:tcW w:w="435" w:type="dxa"/>
            <w:tcBorders>
              <w:top w:val="single" w:sz="4" w:space="0" w:color="auto"/>
              <w:left w:val="single" w:sz="4" w:space="0" w:color="auto"/>
              <w:bottom w:val="single" w:sz="4" w:space="0" w:color="auto"/>
              <w:right w:val="single" w:sz="4" w:space="0" w:color="auto"/>
            </w:tcBorders>
            <w:shd w:val="clear" w:color="auto" w:fill="auto"/>
          </w:tcPr>
          <w:p w14:paraId="176D5AE3"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Index</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9448058"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Feature group</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33FC8D8E"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Components</w:t>
            </w:r>
          </w:p>
        </w:tc>
        <w:tc>
          <w:tcPr>
            <w:tcW w:w="484" w:type="dxa"/>
            <w:tcBorders>
              <w:top w:val="single" w:sz="4" w:space="0" w:color="auto"/>
              <w:left w:val="single" w:sz="4" w:space="0" w:color="auto"/>
              <w:bottom w:val="single" w:sz="4" w:space="0" w:color="auto"/>
              <w:right w:val="single" w:sz="4" w:space="0" w:color="auto"/>
            </w:tcBorders>
            <w:shd w:val="clear" w:color="auto" w:fill="auto"/>
          </w:tcPr>
          <w:p w14:paraId="7ACF5567"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Prerequisite feature groups</w:t>
            </w:r>
          </w:p>
        </w:tc>
        <w:tc>
          <w:tcPr>
            <w:tcW w:w="1287" w:type="dxa"/>
            <w:tcBorders>
              <w:top w:val="single" w:sz="4" w:space="0" w:color="auto"/>
              <w:left w:val="single" w:sz="4" w:space="0" w:color="auto"/>
              <w:bottom w:val="single" w:sz="4" w:space="0" w:color="auto"/>
              <w:right w:val="single" w:sz="4" w:space="0" w:color="auto"/>
            </w:tcBorders>
          </w:tcPr>
          <w:p w14:paraId="7F0C41EE" w14:textId="20C37D06" w:rsidR="00700099" w:rsidRPr="00700099" w:rsidRDefault="00700099" w:rsidP="00700099">
            <w:pPr>
              <w:spacing w:beforeLines="0" w:before="0" w:after="0"/>
              <w:jc w:val="left"/>
              <w:rPr>
                <w:rFonts w:ascii="Arial" w:hAnsi="Arial" w:cs="Arial"/>
                <w:i/>
                <w:iCs/>
                <w:sz w:val="10"/>
                <w:szCs w:val="12"/>
                <w:lang w:val="en-GB" w:eastAsia="ja-JP"/>
              </w:rPr>
            </w:pPr>
            <w:r w:rsidRPr="008E18F2">
              <w:rPr>
                <w:rFonts w:ascii="Arial" w:hAnsi="Arial"/>
                <w:sz w:val="10"/>
                <w:szCs w:val="12"/>
                <w:lang w:val="en-GB" w:eastAsia="ja-JP"/>
              </w:rPr>
              <w:t>Field name in TS 38.331</w:t>
            </w:r>
          </w:p>
        </w:tc>
        <w:tc>
          <w:tcPr>
            <w:tcW w:w="927" w:type="dxa"/>
            <w:tcBorders>
              <w:top w:val="single" w:sz="4" w:space="0" w:color="auto"/>
              <w:left w:val="single" w:sz="4" w:space="0" w:color="auto"/>
              <w:bottom w:val="single" w:sz="4" w:space="0" w:color="auto"/>
              <w:right w:val="single" w:sz="4" w:space="0" w:color="auto"/>
            </w:tcBorders>
          </w:tcPr>
          <w:p w14:paraId="144A4EDC" w14:textId="6538A676" w:rsidR="00700099" w:rsidRPr="00700099" w:rsidRDefault="00700099" w:rsidP="00700099">
            <w:pPr>
              <w:spacing w:beforeLines="0" w:before="0" w:after="0"/>
              <w:jc w:val="left"/>
              <w:rPr>
                <w:rFonts w:ascii="Arial" w:hAnsi="Arial" w:cs="Arial"/>
                <w:i/>
                <w:iCs/>
                <w:sz w:val="10"/>
                <w:szCs w:val="12"/>
                <w:lang w:val="en-GB" w:eastAsia="ja-JP"/>
              </w:rPr>
            </w:pPr>
            <w:r w:rsidRPr="005F5CEB">
              <w:rPr>
                <w:rFonts w:ascii="Arial" w:hAnsi="Arial"/>
                <w:sz w:val="10"/>
                <w:szCs w:val="12"/>
                <w:lang w:val="en-GB" w:eastAsia="ja-JP"/>
              </w:rPr>
              <w:t>Parent IE in TS 38.331</w:t>
            </w:r>
          </w:p>
        </w:tc>
        <w:tc>
          <w:tcPr>
            <w:tcW w:w="533" w:type="dxa"/>
            <w:tcBorders>
              <w:top w:val="single" w:sz="4" w:space="0" w:color="auto"/>
              <w:left w:val="single" w:sz="4" w:space="0" w:color="auto"/>
              <w:bottom w:val="single" w:sz="4" w:space="0" w:color="auto"/>
              <w:right w:val="single" w:sz="4" w:space="0" w:color="auto"/>
            </w:tcBorders>
            <w:shd w:val="clear" w:color="auto" w:fill="auto"/>
          </w:tcPr>
          <w:p w14:paraId="01C00A18"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Need of FDD/TDD differentiation</w:t>
            </w:r>
          </w:p>
        </w:tc>
        <w:tc>
          <w:tcPr>
            <w:tcW w:w="533" w:type="dxa"/>
            <w:tcBorders>
              <w:top w:val="single" w:sz="4" w:space="0" w:color="auto"/>
              <w:left w:val="single" w:sz="4" w:space="0" w:color="auto"/>
              <w:bottom w:val="single" w:sz="4" w:space="0" w:color="auto"/>
              <w:right w:val="single" w:sz="4" w:space="0" w:color="auto"/>
            </w:tcBorders>
            <w:shd w:val="clear" w:color="auto" w:fill="auto"/>
          </w:tcPr>
          <w:p w14:paraId="3F4FE8BA"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Need of FR1/FR2 differentiation</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79FEF47"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Note</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B611E" w14:textId="77777777" w:rsidR="00700099" w:rsidRPr="00700099" w:rsidRDefault="00700099" w:rsidP="00700099">
            <w:pPr>
              <w:spacing w:beforeLines="0" w:before="0" w:after="0"/>
              <w:jc w:val="left"/>
              <w:rPr>
                <w:rFonts w:ascii="Arial" w:hAnsi="Arial"/>
                <w:sz w:val="10"/>
                <w:szCs w:val="12"/>
                <w:lang w:val="en-GB" w:eastAsia="ja-JP"/>
              </w:rPr>
            </w:pPr>
            <w:r w:rsidRPr="00700099">
              <w:rPr>
                <w:rFonts w:ascii="Arial" w:hAnsi="Arial"/>
                <w:sz w:val="10"/>
                <w:szCs w:val="12"/>
                <w:lang w:val="en-GB" w:eastAsia="ja-JP"/>
              </w:rPr>
              <w:t>Mandatory/Optional</w:t>
            </w:r>
          </w:p>
        </w:tc>
      </w:tr>
      <w:tr w:rsidR="00530BBF" w:rsidRPr="00530BBF" w14:paraId="67782CBA" w14:textId="77777777" w:rsidTr="00EF1A5A">
        <w:tc>
          <w:tcPr>
            <w:tcW w:w="1192" w:type="dxa"/>
            <w:tcBorders>
              <w:top w:val="single" w:sz="4" w:space="0" w:color="auto"/>
              <w:left w:val="single" w:sz="4" w:space="0" w:color="auto"/>
              <w:bottom w:val="single" w:sz="4" w:space="0" w:color="auto"/>
              <w:right w:val="single" w:sz="4" w:space="0" w:color="auto"/>
            </w:tcBorders>
            <w:shd w:val="clear" w:color="auto" w:fill="auto"/>
          </w:tcPr>
          <w:p w14:paraId="10A041C7"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 xml:space="preserve">26. </w:t>
            </w:r>
            <w:proofErr w:type="spellStart"/>
            <w:r w:rsidRPr="00530BBF">
              <w:rPr>
                <w:rFonts w:ascii="Arial" w:hAnsi="Arial"/>
                <w:sz w:val="10"/>
                <w:szCs w:val="12"/>
                <w:lang w:val="en-GB" w:eastAsia="ja-JP"/>
              </w:rPr>
              <w:t>NR_NTN_solutions</w:t>
            </w:r>
            <w:proofErr w:type="spellEnd"/>
          </w:p>
        </w:tc>
        <w:tc>
          <w:tcPr>
            <w:tcW w:w="435" w:type="dxa"/>
            <w:tcBorders>
              <w:top w:val="single" w:sz="4" w:space="0" w:color="auto"/>
              <w:left w:val="single" w:sz="4" w:space="0" w:color="auto"/>
              <w:bottom w:val="single" w:sz="4" w:space="0" w:color="auto"/>
              <w:right w:val="single" w:sz="4" w:space="0" w:color="auto"/>
            </w:tcBorders>
            <w:shd w:val="clear" w:color="auto" w:fill="auto"/>
          </w:tcPr>
          <w:p w14:paraId="6F0819C6"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26-5</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4D1C0C2"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Increasing the number of HARQ processes</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1DDCA7D3" w14:textId="77777777" w:rsidR="00530BBF" w:rsidRPr="00530BBF" w:rsidRDefault="00530BBF" w:rsidP="00C6560A">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1. The maximal supported HARQ process number is X for UL and Y for DL</w:t>
            </w:r>
          </w:p>
        </w:tc>
        <w:tc>
          <w:tcPr>
            <w:tcW w:w="484" w:type="dxa"/>
            <w:tcBorders>
              <w:top w:val="single" w:sz="4" w:space="0" w:color="auto"/>
              <w:left w:val="single" w:sz="4" w:space="0" w:color="auto"/>
              <w:bottom w:val="single" w:sz="4" w:space="0" w:color="auto"/>
              <w:right w:val="single" w:sz="4" w:space="0" w:color="auto"/>
            </w:tcBorders>
            <w:shd w:val="clear" w:color="auto" w:fill="auto"/>
          </w:tcPr>
          <w:p w14:paraId="351EF8DC"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003DD409"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cs="Arial"/>
                <w:i/>
                <w:iCs/>
                <w:sz w:val="10"/>
                <w:szCs w:val="12"/>
                <w:lang w:val="en-GB" w:eastAsia="ja-JP"/>
              </w:rPr>
            </w:pPr>
            <w:r w:rsidRPr="00530BBF">
              <w:rPr>
                <w:rFonts w:ascii="Arial" w:hAnsi="Arial" w:cs="Arial"/>
                <w:i/>
                <w:iCs/>
                <w:sz w:val="10"/>
                <w:szCs w:val="12"/>
                <w:lang w:val="en-GB" w:eastAsia="ja-JP"/>
              </w:rPr>
              <w:t>max-HARQ-ProcessNumber-r17</w:t>
            </w:r>
          </w:p>
        </w:tc>
        <w:tc>
          <w:tcPr>
            <w:tcW w:w="927" w:type="dxa"/>
            <w:tcBorders>
              <w:top w:val="single" w:sz="4" w:space="0" w:color="auto"/>
              <w:left w:val="single" w:sz="4" w:space="0" w:color="auto"/>
              <w:bottom w:val="single" w:sz="4" w:space="0" w:color="auto"/>
              <w:right w:val="single" w:sz="4" w:space="0" w:color="auto"/>
            </w:tcBorders>
          </w:tcPr>
          <w:p w14:paraId="5EFC1504"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cs="Arial"/>
                <w:i/>
                <w:iCs/>
                <w:sz w:val="10"/>
                <w:szCs w:val="12"/>
                <w:lang w:val="en-GB" w:eastAsia="ja-JP"/>
              </w:rPr>
            </w:pPr>
            <w:proofErr w:type="spellStart"/>
            <w:r w:rsidRPr="00530BBF">
              <w:rPr>
                <w:rFonts w:ascii="Arial" w:hAnsi="Arial" w:cs="Arial"/>
                <w:i/>
                <w:iCs/>
                <w:sz w:val="10"/>
                <w:szCs w:val="12"/>
                <w:lang w:val="en-GB" w:eastAsia="ja-JP"/>
              </w:rPr>
              <w:t>BandNR</w:t>
            </w:r>
            <w:proofErr w:type="spellEnd"/>
          </w:p>
        </w:tc>
        <w:tc>
          <w:tcPr>
            <w:tcW w:w="533" w:type="dxa"/>
            <w:tcBorders>
              <w:top w:val="single" w:sz="4" w:space="0" w:color="auto"/>
              <w:left w:val="single" w:sz="4" w:space="0" w:color="auto"/>
              <w:bottom w:val="single" w:sz="4" w:space="0" w:color="auto"/>
              <w:right w:val="single" w:sz="4" w:space="0" w:color="auto"/>
            </w:tcBorders>
            <w:shd w:val="clear" w:color="auto" w:fill="auto"/>
          </w:tcPr>
          <w:p w14:paraId="07BF19B1"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No</w:t>
            </w:r>
          </w:p>
        </w:tc>
        <w:tc>
          <w:tcPr>
            <w:tcW w:w="533" w:type="dxa"/>
            <w:tcBorders>
              <w:top w:val="single" w:sz="4" w:space="0" w:color="auto"/>
              <w:left w:val="single" w:sz="4" w:space="0" w:color="auto"/>
              <w:bottom w:val="single" w:sz="4" w:space="0" w:color="auto"/>
              <w:right w:val="single" w:sz="4" w:space="0" w:color="auto"/>
            </w:tcBorders>
            <w:shd w:val="clear" w:color="auto" w:fill="auto"/>
          </w:tcPr>
          <w:p w14:paraId="494957FE"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No</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DC18A0F"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Candidate component values for (</w:t>
            </w:r>
            <w:proofErr w:type="gramStart"/>
            <w:r w:rsidRPr="00530BBF">
              <w:rPr>
                <w:rFonts w:ascii="Arial" w:hAnsi="Arial"/>
                <w:sz w:val="10"/>
                <w:szCs w:val="12"/>
                <w:lang w:val="en-GB" w:eastAsia="ja-JP"/>
              </w:rPr>
              <w:t>X,Y</w:t>
            </w:r>
            <w:proofErr w:type="gramEnd"/>
            <w:r w:rsidRPr="00530BBF">
              <w:rPr>
                <w:rFonts w:ascii="Arial" w:hAnsi="Arial"/>
                <w:sz w:val="10"/>
                <w:szCs w:val="12"/>
                <w:lang w:val="en-GB" w:eastAsia="ja-JP"/>
              </w:rPr>
              <w:t>): {(16,32),(32,16),(32,32)}</w:t>
            </w:r>
          </w:p>
          <w:p w14:paraId="24DA32AC"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p>
          <w:p w14:paraId="61D6C66D" w14:textId="77777777" w:rsidR="00530BBF" w:rsidRPr="00530BBF" w:rsidRDefault="00530BBF" w:rsidP="00530BBF">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Note: This UE feature group is applicable only for bands in Table 5.2.2-1 in TS 38.101-5 and HAPS operation bands in Clause 5.2 of TS 38.104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872A8E" w14:textId="77777777" w:rsidR="00530BBF" w:rsidRPr="00530BBF" w:rsidRDefault="00530BBF" w:rsidP="00D95020">
            <w:pPr>
              <w:keepNext/>
              <w:keepLines/>
              <w:overflowPunct w:val="0"/>
              <w:autoSpaceDE w:val="0"/>
              <w:autoSpaceDN w:val="0"/>
              <w:adjustRightInd w:val="0"/>
              <w:spacing w:beforeLines="0" w:before="0" w:after="0"/>
              <w:jc w:val="left"/>
              <w:textAlignment w:val="baseline"/>
              <w:rPr>
                <w:rFonts w:ascii="Arial" w:hAnsi="Arial"/>
                <w:sz w:val="10"/>
                <w:szCs w:val="12"/>
                <w:lang w:val="en-GB" w:eastAsia="ja-JP"/>
              </w:rPr>
            </w:pPr>
            <w:r w:rsidRPr="00530BBF">
              <w:rPr>
                <w:rFonts w:ascii="Arial" w:hAnsi="Arial"/>
                <w:sz w:val="10"/>
                <w:szCs w:val="12"/>
                <w:lang w:val="en-GB" w:eastAsia="ja-JP"/>
              </w:rPr>
              <w:t>Optional with capability signalling</w:t>
            </w:r>
          </w:p>
        </w:tc>
      </w:tr>
      <w:tr w:rsidR="00EF1A5A" w:rsidRPr="00F41679" w14:paraId="734EC68B" w14:textId="77777777" w:rsidTr="00D95020">
        <w:trPr>
          <w:trHeight w:val="948"/>
        </w:trPr>
        <w:tc>
          <w:tcPr>
            <w:tcW w:w="1192" w:type="dxa"/>
            <w:tcBorders>
              <w:top w:val="single" w:sz="4" w:space="0" w:color="auto"/>
              <w:left w:val="single" w:sz="4" w:space="0" w:color="auto"/>
              <w:bottom w:val="single" w:sz="4" w:space="0" w:color="auto"/>
              <w:right w:val="single" w:sz="4" w:space="0" w:color="auto"/>
            </w:tcBorders>
            <w:shd w:val="clear" w:color="auto" w:fill="auto"/>
          </w:tcPr>
          <w:p w14:paraId="550AA9F6"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 xml:space="preserve">26. </w:t>
            </w:r>
            <w:proofErr w:type="spellStart"/>
            <w:r w:rsidRPr="00EF1A5A">
              <w:rPr>
                <w:rFonts w:ascii="Arial" w:hAnsi="Arial"/>
                <w:sz w:val="10"/>
                <w:szCs w:val="12"/>
                <w:lang w:val="en-GB" w:eastAsia="ja-JP"/>
              </w:rPr>
              <w:t>NR_NTN_solutions</w:t>
            </w:r>
            <w:proofErr w:type="spellEnd"/>
          </w:p>
        </w:tc>
        <w:tc>
          <w:tcPr>
            <w:tcW w:w="435" w:type="dxa"/>
            <w:tcBorders>
              <w:top w:val="single" w:sz="4" w:space="0" w:color="auto"/>
              <w:left w:val="single" w:sz="4" w:space="0" w:color="auto"/>
              <w:bottom w:val="single" w:sz="4" w:space="0" w:color="auto"/>
              <w:right w:val="single" w:sz="4" w:space="0" w:color="auto"/>
            </w:tcBorders>
            <w:shd w:val="clear" w:color="auto" w:fill="auto"/>
          </w:tcPr>
          <w:p w14:paraId="15273443"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26-10</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C0CA56A"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K1 range extension</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2C329A64" w14:textId="5C85F09C"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1.</w:t>
            </w:r>
            <w:r w:rsidR="00C6560A" w:rsidRPr="00EF1A5A">
              <w:rPr>
                <w:rFonts w:ascii="Arial" w:hAnsi="Arial"/>
                <w:sz w:val="10"/>
                <w:szCs w:val="12"/>
                <w:lang w:val="en-GB" w:eastAsia="ja-JP"/>
              </w:rPr>
              <w:t xml:space="preserve"> </w:t>
            </w:r>
            <w:r w:rsidRPr="00EF1A5A">
              <w:rPr>
                <w:rFonts w:ascii="Arial" w:hAnsi="Arial"/>
                <w:sz w:val="10"/>
                <w:szCs w:val="12"/>
                <w:lang w:val="en-GB" w:eastAsia="ja-JP"/>
              </w:rPr>
              <w:t>Support of extended K1 value range of (</w:t>
            </w:r>
            <w:proofErr w:type="gramStart"/>
            <w:r w:rsidRPr="00EF1A5A">
              <w:rPr>
                <w:rFonts w:ascii="Arial" w:hAnsi="Arial"/>
                <w:sz w:val="10"/>
                <w:szCs w:val="12"/>
                <w:lang w:val="en-GB" w:eastAsia="ja-JP"/>
              </w:rPr>
              <w:t>0..</w:t>
            </w:r>
            <w:proofErr w:type="gramEnd"/>
            <w:r w:rsidRPr="00EF1A5A">
              <w:rPr>
                <w:rFonts w:ascii="Arial" w:hAnsi="Arial"/>
                <w:sz w:val="10"/>
                <w:szCs w:val="12"/>
                <w:lang w:val="en-GB" w:eastAsia="ja-JP"/>
              </w:rPr>
              <w:t>31) for unpaired spectrum</w:t>
            </w:r>
          </w:p>
        </w:tc>
        <w:tc>
          <w:tcPr>
            <w:tcW w:w="484" w:type="dxa"/>
            <w:tcBorders>
              <w:top w:val="single" w:sz="4" w:space="0" w:color="auto"/>
              <w:left w:val="single" w:sz="4" w:space="0" w:color="auto"/>
              <w:bottom w:val="single" w:sz="4" w:space="0" w:color="auto"/>
              <w:right w:val="single" w:sz="4" w:space="0" w:color="auto"/>
            </w:tcBorders>
            <w:shd w:val="clear" w:color="auto" w:fill="auto"/>
          </w:tcPr>
          <w:p w14:paraId="2C59C1BA" w14:textId="77777777" w:rsidR="00EF1A5A" w:rsidRPr="00EF1A5A" w:rsidRDefault="00EF1A5A" w:rsidP="00D95020">
            <w:pPr>
              <w:spacing w:before="120"/>
              <w:jc w:val="left"/>
              <w:rPr>
                <w:rFonts w:ascii="Arial" w:hAnsi="Arial"/>
                <w:sz w:val="10"/>
                <w:szCs w:val="12"/>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0A69B66B" w14:textId="77777777" w:rsidR="00EF1A5A" w:rsidRPr="00EF1A5A" w:rsidRDefault="00EF1A5A" w:rsidP="00D95020">
            <w:pPr>
              <w:spacing w:before="120"/>
              <w:jc w:val="left"/>
              <w:rPr>
                <w:rFonts w:ascii="Arial" w:hAnsi="Arial" w:cs="Arial"/>
                <w:i/>
                <w:iCs/>
                <w:sz w:val="10"/>
                <w:szCs w:val="12"/>
                <w:lang w:val="en-GB" w:eastAsia="ja-JP"/>
              </w:rPr>
            </w:pPr>
            <w:r w:rsidRPr="00EF1A5A">
              <w:rPr>
                <w:rFonts w:ascii="Arial" w:hAnsi="Arial" w:cs="Arial"/>
                <w:i/>
                <w:iCs/>
                <w:sz w:val="10"/>
                <w:szCs w:val="12"/>
                <w:lang w:val="en-GB" w:eastAsia="ja-JP"/>
              </w:rPr>
              <w:t>k1-RangeExtension-r17</w:t>
            </w:r>
          </w:p>
        </w:tc>
        <w:tc>
          <w:tcPr>
            <w:tcW w:w="927" w:type="dxa"/>
            <w:tcBorders>
              <w:top w:val="single" w:sz="4" w:space="0" w:color="auto"/>
              <w:left w:val="single" w:sz="4" w:space="0" w:color="auto"/>
              <w:bottom w:val="single" w:sz="4" w:space="0" w:color="auto"/>
              <w:right w:val="single" w:sz="4" w:space="0" w:color="auto"/>
            </w:tcBorders>
          </w:tcPr>
          <w:p w14:paraId="1487E30B" w14:textId="77777777" w:rsidR="00EF1A5A" w:rsidRPr="00EF1A5A" w:rsidRDefault="00EF1A5A" w:rsidP="00D95020">
            <w:pPr>
              <w:spacing w:before="120"/>
              <w:jc w:val="left"/>
              <w:rPr>
                <w:rFonts w:ascii="Arial" w:hAnsi="Arial" w:cs="Arial"/>
                <w:i/>
                <w:iCs/>
                <w:sz w:val="10"/>
                <w:szCs w:val="12"/>
                <w:lang w:val="en-GB" w:eastAsia="ja-JP"/>
              </w:rPr>
            </w:pPr>
            <w:proofErr w:type="spellStart"/>
            <w:r w:rsidRPr="00EF1A5A">
              <w:rPr>
                <w:rFonts w:ascii="Arial" w:hAnsi="Arial" w:cs="Arial"/>
                <w:i/>
                <w:iCs/>
                <w:sz w:val="10"/>
                <w:szCs w:val="12"/>
                <w:lang w:val="en-GB" w:eastAsia="ja-JP"/>
              </w:rPr>
              <w:t>BandNR</w:t>
            </w:r>
            <w:proofErr w:type="spellEnd"/>
          </w:p>
        </w:tc>
        <w:tc>
          <w:tcPr>
            <w:tcW w:w="533" w:type="dxa"/>
            <w:tcBorders>
              <w:top w:val="single" w:sz="4" w:space="0" w:color="auto"/>
              <w:left w:val="single" w:sz="4" w:space="0" w:color="auto"/>
              <w:bottom w:val="single" w:sz="4" w:space="0" w:color="auto"/>
              <w:right w:val="single" w:sz="4" w:space="0" w:color="auto"/>
            </w:tcBorders>
            <w:shd w:val="clear" w:color="auto" w:fill="auto"/>
          </w:tcPr>
          <w:p w14:paraId="3C1DCB01"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No</w:t>
            </w:r>
          </w:p>
        </w:tc>
        <w:tc>
          <w:tcPr>
            <w:tcW w:w="533" w:type="dxa"/>
            <w:tcBorders>
              <w:top w:val="single" w:sz="4" w:space="0" w:color="auto"/>
              <w:left w:val="single" w:sz="4" w:space="0" w:color="auto"/>
              <w:bottom w:val="single" w:sz="4" w:space="0" w:color="auto"/>
              <w:right w:val="single" w:sz="4" w:space="0" w:color="auto"/>
            </w:tcBorders>
            <w:shd w:val="clear" w:color="auto" w:fill="auto"/>
          </w:tcPr>
          <w:p w14:paraId="5E01AD11"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No</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1595EDD"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Note: This UE feature group is applicable only for bands in Table 5.2.2-1 in TS 38.101-5 and HAPS operation bands in Clause 5.2 of TS 38.104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98F729" w14:textId="77777777" w:rsidR="00EF1A5A" w:rsidRPr="00EF1A5A" w:rsidRDefault="00EF1A5A" w:rsidP="00D95020">
            <w:pPr>
              <w:spacing w:before="120"/>
              <w:jc w:val="left"/>
              <w:rPr>
                <w:rFonts w:ascii="Arial" w:hAnsi="Arial"/>
                <w:sz w:val="10"/>
                <w:szCs w:val="12"/>
                <w:lang w:val="en-GB" w:eastAsia="ja-JP"/>
              </w:rPr>
            </w:pPr>
            <w:r w:rsidRPr="00EF1A5A">
              <w:rPr>
                <w:rFonts w:ascii="Arial" w:hAnsi="Arial"/>
                <w:sz w:val="10"/>
                <w:szCs w:val="12"/>
                <w:lang w:val="en-GB" w:eastAsia="ja-JP"/>
              </w:rPr>
              <w:t xml:space="preserve">Optional with capability signalling </w:t>
            </w:r>
          </w:p>
        </w:tc>
      </w:tr>
    </w:tbl>
    <w:p w14:paraId="57720E29" w14:textId="391F1416" w:rsidR="00CB4283" w:rsidRDefault="001526C7" w:rsidP="00361100">
      <w:pPr>
        <w:pStyle w:val="BodyText"/>
        <w:spacing w:beforeLines="100" w:before="240"/>
        <w:rPr>
          <w:rFonts w:ascii="Times New Roman" w:eastAsia="宋体" w:hAnsi="Times New Roman"/>
          <w:lang w:eastAsia="zh-CN"/>
        </w:rPr>
      </w:pPr>
      <w:r>
        <w:rPr>
          <w:rFonts w:ascii="Times New Roman" w:eastAsia="宋体" w:hAnsi="Times New Roman"/>
          <w:lang w:eastAsia="zh-CN"/>
        </w:rPr>
        <w:t>Both features of i</w:t>
      </w:r>
      <w:r w:rsidRPr="00D71317">
        <w:rPr>
          <w:rFonts w:ascii="Times New Roman" w:eastAsia="宋体" w:hAnsi="Times New Roman"/>
          <w:lang w:eastAsia="zh-CN"/>
        </w:rPr>
        <w:t xml:space="preserve">ncreasing the number of HARQ processes and </w:t>
      </w:r>
      <w:r>
        <w:rPr>
          <w:rFonts w:ascii="Times New Roman" w:eastAsia="宋体" w:hAnsi="Times New Roman"/>
          <w:lang w:eastAsia="zh-CN"/>
        </w:rPr>
        <w:t xml:space="preserve">extending </w:t>
      </w:r>
      <w:r w:rsidRPr="00D71317">
        <w:rPr>
          <w:rFonts w:ascii="Times New Roman" w:eastAsia="宋体" w:hAnsi="Times New Roman"/>
          <w:lang w:eastAsia="zh-CN"/>
        </w:rPr>
        <w:t xml:space="preserve">K1 range </w:t>
      </w:r>
      <w:r>
        <w:rPr>
          <w:rFonts w:ascii="Times New Roman" w:eastAsia="宋体" w:hAnsi="Times New Roman"/>
          <w:lang w:eastAsia="zh-CN"/>
        </w:rPr>
        <w:t xml:space="preserve">can be applied to ATG which was actually not precluded in Rel-17 discussions. </w:t>
      </w:r>
      <w:r w:rsidR="00514103">
        <w:rPr>
          <w:rFonts w:ascii="Times New Roman" w:eastAsia="宋体" w:hAnsi="Times New Roman"/>
          <w:lang w:eastAsia="zh-CN"/>
        </w:rPr>
        <w:t xml:space="preserve">However, for both </w:t>
      </w:r>
      <w:r w:rsidR="00083CB9">
        <w:rPr>
          <w:rFonts w:ascii="Times New Roman" w:eastAsia="宋体" w:hAnsi="Times New Roman"/>
          <w:lang w:eastAsia="zh-CN"/>
        </w:rPr>
        <w:t>26-5</w:t>
      </w:r>
      <w:r w:rsidR="004747AE">
        <w:rPr>
          <w:rFonts w:ascii="Times New Roman" w:eastAsia="宋体" w:hAnsi="Times New Roman"/>
          <w:lang w:eastAsia="zh-CN"/>
        </w:rPr>
        <w:t xml:space="preserve"> and 26-10, they’re only applicable to NTN bands and HAPS operation band</w:t>
      </w:r>
      <w:r w:rsidR="003D0C82">
        <w:rPr>
          <w:rFonts w:ascii="Times New Roman" w:eastAsia="宋体" w:hAnsi="Times New Roman"/>
          <w:lang w:eastAsia="zh-CN"/>
        </w:rPr>
        <w:t>. For ATG band introduced in</w:t>
      </w:r>
      <w:r w:rsidR="008112AD">
        <w:rPr>
          <w:rFonts w:ascii="Times New Roman" w:eastAsia="宋体" w:hAnsi="Times New Roman"/>
          <w:lang w:eastAsia="zh-CN"/>
        </w:rPr>
        <w:t xml:space="preserve"> </w:t>
      </w:r>
      <w:r w:rsidR="008112AD">
        <w:rPr>
          <w:rFonts w:ascii="Times New Roman" w:eastAsia="宋体" w:hAnsi="Times New Roman"/>
          <w:lang w:eastAsia="zh-CN"/>
        </w:rPr>
        <w:fldChar w:fldCharType="begin"/>
      </w:r>
      <w:r w:rsidR="008112AD">
        <w:rPr>
          <w:rFonts w:ascii="Times New Roman" w:eastAsia="宋体" w:hAnsi="Times New Roman"/>
          <w:lang w:eastAsia="zh-CN"/>
        </w:rPr>
        <w:instrText xml:space="preserve"> REF _Ref142052138 \n \h </w:instrText>
      </w:r>
      <w:r w:rsidR="008112AD">
        <w:rPr>
          <w:rFonts w:ascii="Times New Roman" w:eastAsia="宋体" w:hAnsi="Times New Roman"/>
          <w:lang w:eastAsia="zh-CN"/>
        </w:rPr>
      </w:r>
      <w:r w:rsidR="008112AD">
        <w:rPr>
          <w:rFonts w:ascii="Times New Roman" w:eastAsia="宋体" w:hAnsi="Times New Roman"/>
          <w:lang w:eastAsia="zh-CN"/>
        </w:rPr>
        <w:fldChar w:fldCharType="separate"/>
      </w:r>
      <w:r w:rsidR="008112AD">
        <w:rPr>
          <w:rFonts w:ascii="Times New Roman" w:eastAsia="宋体" w:hAnsi="Times New Roman"/>
          <w:lang w:eastAsia="zh-CN"/>
        </w:rPr>
        <w:t>[2]</w:t>
      </w:r>
      <w:r w:rsidR="008112AD">
        <w:rPr>
          <w:rFonts w:ascii="Times New Roman" w:eastAsia="宋体" w:hAnsi="Times New Roman"/>
          <w:lang w:eastAsia="zh-CN"/>
        </w:rPr>
        <w:fldChar w:fldCharType="end"/>
      </w:r>
      <w:r w:rsidR="008112AD">
        <w:rPr>
          <w:rFonts w:ascii="Times New Roman" w:eastAsia="宋体" w:hAnsi="Times New Roman"/>
          <w:lang w:eastAsia="zh-CN"/>
        </w:rPr>
        <w:t xml:space="preserve"> for</w:t>
      </w:r>
      <w:r w:rsidR="003D0C82">
        <w:rPr>
          <w:rFonts w:ascii="Times New Roman" w:eastAsia="宋体" w:hAnsi="Times New Roman"/>
          <w:lang w:eastAsia="zh-CN"/>
        </w:rPr>
        <w:t xml:space="preserve"> Rel-18</w:t>
      </w:r>
      <w:r w:rsidR="00083CB9">
        <w:rPr>
          <w:rFonts w:ascii="Times New Roman" w:eastAsia="宋体" w:hAnsi="Times New Roman"/>
          <w:lang w:eastAsia="zh-CN"/>
        </w:rPr>
        <w:t xml:space="preserve">, </w:t>
      </w:r>
      <w:r w:rsidR="003D0C82">
        <w:rPr>
          <w:rFonts w:ascii="Times New Roman" w:eastAsia="宋体" w:hAnsi="Times New Roman"/>
          <w:lang w:eastAsia="zh-CN"/>
        </w:rPr>
        <w:t>it will reuse the TN band and not supported in Rel-17</w:t>
      </w:r>
      <w:r w:rsidR="00534C0B">
        <w:rPr>
          <w:rFonts w:ascii="Times New Roman" w:eastAsia="宋体" w:hAnsi="Times New Roman"/>
          <w:lang w:eastAsia="zh-CN"/>
        </w:rPr>
        <w:t>. Therefore</w:t>
      </w:r>
      <w:r w:rsidR="00D91B4E">
        <w:rPr>
          <w:rFonts w:ascii="Times New Roman" w:eastAsia="宋体" w:hAnsi="Times New Roman"/>
          <w:lang w:eastAsia="zh-CN"/>
        </w:rPr>
        <w:t>,</w:t>
      </w:r>
      <w:r w:rsidR="00534C0B">
        <w:rPr>
          <w:rFonts w:ascii="Times New Roman" w:eastAsia="宋体" w:hAnsi="Times New Roman"/>
          <w:lang w:eastAsia="zh-CN"/>
        </w:rPr>
        <w:t xml:space="preserve"> </w:t>
      </w:r>
      <w:r w:rsidR="003D0C82">
        <w:rPr>
          <w:rFonts w:ascii="Times New Roman" w:eastAsia="宋体" w:hAnsi="Times New Roman"/>
          <w:lang w:eastAsia="zh-CN"/>
        </w:rPr>
        <w:t xml:space="preserve">a separate </w:t>
      </w:r>
      <w:r w:rsidR="009E4FD5">
        <w:rPr>
          <w:rFonts w:ascii="Times New Roman" w:eastAsia="宋体" w:hAnsi="Times New Roman"/>
          <w:lang w:eastAsia="zh-CN"/>
        </w:rPr>
        <w:t xml:space="preserve">set of </w:t>
      </w:r>
      <w:r w:rsidR="00AA116A">
        <w:rPr>
          <w:rFonts w:ascii="Times New Roman" w:eastAsia="宋体" w:hAnsi="Times New Roman"/>
          <w:lang w:eastAsia="zh-CN"/>
        </w:rPr>
        <w:t xml:space="preserve">Rel-18 </w:t>
      </w:r>
      <w:r w:rsidR="003D0C82">
        <w:rPr>
          <w:rFonts w:ascii="Times New Roman" w:eastAsia="宋体" w:hAnsi="Times New Roman"/>
          <w:lang w:eastAsia="zh-CN"/>
        </w:rPr>
        <w:t xml:space="preserve">UE feature groups to </w:t>
      </w:r>
      <w:r w:rsidR="00403B29">
        <w:rPr>
          <w:rFonts w:ascii="Times New Roman" w:eastAsia="宋体" w:hAnsi="Times New Roman"/>
          <w:lang w:eastAsia="zh-CN"/>
        </w:rPr>
        <w:t xml:space="preserve">be </w:t>
      </w:r>
      <w:r w:rsidR="003D0C82">
        <w:rPr>
          <w:rFonts w:ascii="Times New Roman" w:eastAsia="宋体" w:hAnsi="Times New Roman"/>
          <w:lang w:eastAsia="zh-CN"/>
        </w:rPr>
        <w:t>support</w:t>
      </w:r>
      <w:r w:rsidR="00403B29">
        <w:rPr>
          <w:rFonts w:ascii="Times New Roman" w:eastAsia="宋体" w:hAnsi="Times New Roman"/>
          <w:lang w:eastAsia="zh-CN"/>
        </w:rPr>
        <w:t>ed for</w:t>
      </w:r>
      <w:r w:rsidR="003D0C82">
        <w:rPr>
          <w:rFonts w:ascii="Times New Roman" w:eastAsia="宋体" w:hAnsi="Times New Roman"/>
          <w:lang w:eastAsia="zh-CN"/>
        </w:rPr>
        <w:t xml:space="preserve"> ATG is needed</w:t>
      </w:r>
      <w:r w:rsidR="009E72E7">
        <w:rPr>
          <w:rFonts w:ascii="Times New Roman" w:eastAsia="宋体" w:hAnsi="Times New Roman" w:hint="eastAsia"/>
          <w:lang w:eastAsia="zh-CN"/>
        </w:rPr>
        <w:t>,</w:t>
      </w:r>
      <w:r w:rsidR="003D0C82">
        <w:rPr>
          <w:rFonts w:ascii="Times New Roman" w:eastAsia="宋体" w:hAnsi="Times New Roman"/>
          <w:lang w:eastAsia="zh-CN"/>
        </w:rPr>
        <w:t xml:space="preserve"> </w:t>
      </w:r>
      <w:bookmarkStart w:id="4" w:name="_GoBack"/>
      <w:bookmarkEnd w:id="4"/>
      <w:r w:rsidR="003D0C82">
        <w:rPr>
          <w:rFonts w:ascii="Times New Roman" w:eastAsia="宋体" w:hAnsi="Times New Roman"/>
          <w:lang w:eastAsia="zh-CN"/>
        </w:rPr>
        <w:t>similar to 26-5 and 26-10.</w:t>
      </w:r>
    </w:p>
    <w:p w14:paraId="1E2BA872" w14:textId="1755698B" w:rsidR="00AA116A" w:rsidRPr="000035E9" w:rsidRDefault="00733838" w:rsidP="00361100">
      <w:pPr>
        <w:pStyle w:val="BodyText"/>
        <w:spacing w:beforeLines="100" w:before="240"/>
        <w:rPr>
          <w:rFonts w:ascii="Times New Roman" w:eastAsia="宋体" w:hAnsi="Times New Roman"/>
          <w:lang w:eastAsia="zh-CN"/>
        </w:rPr>
      </w:pPr>
      <w:r>
        <w:rPr>
          <w:rFonts w:ascii="Times New Roman" w:eastAsia="宋体" w:hAnsi="Times New Roman"/>
          <w:lang w:eastAsia="zh-CN"/>
        </w:rPr>
        <w:lastRenderedPageBreak/>
        <w:t>According to above</w:t>
      </w:r>
      <w:r w:rsidR="00AA116A">
        <w:rPr>
          <w:rFonts w:ascii="Times New Roman" w:eastAsia="宋体" w:hAnsi="Times New Roman"/>
          <w:lang w:eastAsia="zh-CN"/>
        </w:rPr>
        <w:t xml:space="preserve">, we have following proposal </w:t>
      </w:r>
      <w:r w:rsidR="00FE570B">
        <w:rPr>
          <w:rFonts w:ascii="Times New Roman" w:eastAsia="宋体" w:hAnsi="Times New Roman"/>
          <w:lang w:eastAsia="zh-CN"/>
        </w:rPr>
        <w:t>on</w:t>
      </w:r>
      <w:r w:rsidR="00AA116A">
        <w:rPr>
          <w:rFonts w:ascii="Times New Roman" w:eastAsia="宋体" w:hAnsi="Times New Roman"/>
          <w:lang w:eastAsia="zh-CN"/>
        </w:rPr>
        <w:t xml:space="preserve"> how to reply to RAN4 </w:t>
      </w:r>
      <w:r w:rsidR="00A670DD">
        <w:rPr>
          <w:rFonts w:ascii="Times New Roman" w:eastAsia="宋体" w:hAnsi="Times New Roman"/>
          <w:lang w:eastAsia="zh-CN"/>
        </w:rPr>
        <w:t>on</w:t>
      </w:r>
      <w:r w:rsidR="00AA116A">
        <w:rPr>
          <w:rFonts w:ascii="Times New Roman" w:eastAsia="宋体" w:hAnsi="Times New Roman"/>
          <w:lang w:eastAsia="zh-CN"/>
        </w:rPr>
        <w:t xml:space="preserve"> the LS being discussed.</w:t>
      </w:r>
    </w:p>
    <w:p w14:paraId="1210E905" w14:textId="47753E58" w:rsidR="003A295E" w:rsidRDefault="00AA116A" w:rsidP="003A295E">
      <w:pPr>
        <w:spacing w:beforeLines="100" w:before="240" w:after="0"/>
        <w:rPr>
          <w:rFonts w:eastAsiaTheme="minorEastAsia"/>
          <w:b/>
          <w:i/>
          <w:lang w:eastAsia="zh-CN"/>
        </w:rPr>
      </w:pPr>
      <w:r>
        <w:rPr>
          <w:rFonts w:eastAsiaTheme="minorEastAsia"/>
          <w:b/>
          <w:i/>
          <w:lang w:eastAsia="zh-CN"/>
        </w:rPr>
        <w:t>Proposal</w:t>
      </w:r>
      <w:r w:rsidR="003A295E" w:rsidRPr="00C702FF">
        <w:rPr>
          <w:rFonts w:eastAsiaTheme="minorEastAsia"/>
          <w:b/>
          <w:i/>
          <w:lang w:eastAsia="zh-CN"/>
        </w:rPr>
        <w:t xml:space="preserve"> </w:t>
      </w:r>
      <w:r w:rsidR="003A295E">
        <w:rPr>
          <w:rFonts w:eastAsiaTheme="minorEastAsia"/>
          <w:b/>
          <w:i/>
          <w:lang w:eastAsia="zh-CN"/>
        </w:rPr>
        <w:t>1</w:t>
      </w:r>
      <w:r w:rsidR="003A295E" w:rsidRPr="00C702FF">
        <w:rPr>
          <w:rFonts w:eastAsiaTheme="minorEastAsia"/>
          <w:b/>
          <w:i/>
          <w:lang w:eastAsia="zh-CN"/>
        </w:rPr>
        <w:t>:</w:t>
      </w:r>
    </w:p>
    <w:p w14:paraId="046EE5D3" w14:textId="149B9502" w:rsidR="00F3315E" w:rsidRDefault="00F3315E" w:rsidP="00317FA1">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Reply to RAN4 that it’s feasible to support both ‘</w:t>
      </w:r>
      <w:r w:rsidR="00240C24" w:rsidRPr="00240C24">
        <w:rPr>
          <w:rFonts w:ascii="Times New Roman" w:eastAsiaTheme="minorEastAsia" w:hAnsi="Times New Roman" w:cs="Times New Roman"/>
          <w:b/>
          <w:i/>
        </w:rPr>
        <w:t>Increasing the number of HARQ processes</w:t>
      </w:r>
      <w:r>
        <w:rPr>
          <w:rFonts w:ascii="Times New Roman" w:eastAsiaTheme="minorEastAsia" w:hAnsi="Times New Roman" w:cs="Times New Roman"/>
          <w:b/>
          <w:i/>
        </w:rPr>
        <w:t>’ and ‘</w:t>
      </w:r>
      <w:r w:rsidR="00240C24" w:rsidRPr="00240C24">
        <w:rPr>
          <w:rFonts w:ascii="Times New Roman" w:eastAsiaTheme="minorEastAsia" w:hAnsi="Times New Roman" w:cs="Times New Roman"/>
          <w:b/>
          <w:i/>
        </w:rPr>
        <w:t>K1 range extension</w:t>
      </w:r>
      <w:r>
        <w:rPr>
          <w:rFonts w:ascii="Times New Roman" w:eastAsiaTheme="minorEastAsia" w:hAnsi="Times New Roman" w:cs="Times New Roman"/>
          <w:b/>
          <w:i/>
        </w:rPr>
        <w:t xml:space="preserve">’ for ATG band, and 2 new </w:t>
      </w:r>
      <w:r w:rsidR="00B44597">
        <w:rPr>
          <w:rFonts w:ascii="Times New Roman" w:eastAsiaTheme="minorEastAsia" w:hAnsi="Times New Roman" w:cs="Times New Roman"/>
          <w:b/>
          <w:i/>
        </w:rPr>
        <w:t xml:space="preserve">corresponding </w:t>
      </w:r>
      <w:r>
        <w:rPr>
          <w:rFonts w:ascii="Times New Roman" w:eastAsiaTheme="minorEastAsia" w:hAnsi="Times New Roman" w:cs="Times New Roman"/>
          <w:b/>
          <w:i/>
        </w:rPr>
        <w:t xml:space="preserve">Rel-18 UE feature groups </w:t>
      </w:r>
      <w:r w:rsidR="00C2706E">
        <w:rPr>
          <w:rFonts w:ascii="Times New Roman" w:eastAsiaTheme="minorEastAsia" w:hAnsi="Times New Roman" w:cs="Times New Roman"/>
          <w:b/>
          <w:i/>
        </w:rPr>
        <w:t xml:space="preserve">specific for ATG band </w:t>
      </w:r>
      <w:r>
        <w:rPr>
          <w:rFonts w:ascii="Times New Roman" w:eastAsiaTheme="minorEastAsia" w:hAnsi="Times New Roman" w:cs="Times New Roman"/>
          <w:b/>
          <w:i/>
        </w:rPr>
        <w:t>should be defined.</w:t>
      </w:r>
    </w:p>
    <w:p w14:paraId="6A01257E" w14:textId="77777777" w:rsidR="00CE04E0" w:rsidRDefault="00CE04E0" w:rsidP="00CE04E0">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908402B" w14:textId="3E2AA762" w:rsidR="00CE04E0" w:rsidRDefault="00CE04E0" w:rsidP="00CE04E0">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w:t>
      </w:r>
      <w:r w:rsidRPr="00402616">
        <w:rPr>
          <w:rFonts w:eastAsia="宋体"/>
          <w:lang w:val="en-GB" w:eastAsia="zh-CN"/>
        </w:rPr>
        <w:t xml:space="preserve">RAN2 LS </w:t>
      </w:r>
      <w:r w:rsidR="00122801">
        <w:rPr>
          <w:rFonts w:eastAsia="宋体" w:hint="eastAsia"/>
          <w:lang w:val="en-GB" w:eastAsia="zh-CN"/>
        </w:rPr>
        <w:t>o</w:t>
      </w:r>
      <w:r w:rsidR="00122801">
        <w:rPr>
          <w:rFonts w:eastAsia="宋体"/>
          <w:lang w:val="en-GB" w:eastAsia="zh-CN"/>
        </w:rPr>
        <w:t xml:space="preserve">n </w:t>
      </w:r>
      <w:r w:rsidR="00122801" w:rsidRPr="00472351">
        <w:rPr>
          <w:rFonts w:eastAsiaTheme="minorEastAsia"/>
        </w:rPr>
        <w:t>UE features for NR ATG</w:t>
      </w:r>
      <w:r>
        <w:rPr>
          <w:rFonts w:eastAsia="宋体"/>
          <w:lang w:val="en-GB" w:eastAsia="zh-CN"/>
        </w:rPr>
        <w:t>. According to the discussions, we</w:t>
      </w:r>
      <w:r>
        <w:rPr>
          <w:rFonts w:eastAsia="宋体"/>
          <w:lang w:eastAsia="zh-CN"/>
        </w:rPr>
        <w:t xml:space="preserve"> have following proposal</w:t>
      </w:r>
      <w:r w:rsidR="00747A1A">
        <w:rPr>
          <w:rFonts w:eastAsia="宋体"/>
          <w:lang w:eastAsia="zh-CN"/>
        </w:rPr>
        <w:t>.</w:t>
      </w:r>
    </w:p>
    <w:p w14:paraId="24658797" w14:textId="20F67925" w:rsidR="00CE04E0" w:rsidRDefault="00CE04E0" w:rsidP="00CE04E0">
      <w:pPr>
        <w:spacing w:beforeLines="100" w:before="240" w:after="0"/>
        <w:rPr>
          <w:rFonts w:eastAsiaTheme="minorEastAsia"/>
          <w:b/>
          <w:i/>
          <w:lang w:eastAsia="zh-CN"/>
        </w:rPr>
      </w:pPr>
      <w:r w:rsidRPr="00C702FF">
        <w:rPr>
          <w:rFonts w:eastAsiaTheme="minorEastAsia"/>
          <w:b/>
          <w:i/>
          <w:lang w:eastAsia="zh-CN"/>
        </w:rPr>
        <w:t>Proposal</w:t>
      </w:r>
      <w:r w:rsidR="00B539D6">
        <w:rPr>
          <w:rFonts w:eastAsiaTheme="minorEastAsia"/>
          <w:b/>
          <w:i/>
          <w:lang w:eastAsia="zh-CN"/>
        </w:rPr>
        <w:t xml:space="preserve"> 1</w:t>
      </w:r>
      <w:r w:rsidRPr="00C702FF">
        <w:rPr>
          <w:rFonts w:eastAsiaTheme="minorEastAsia"/>
          <w:b/>
          <w:i/>
          <w:lang w:eastAsia="zh-CN"/>
        </w:rPr>
        <w:t>:</w:t>
      </w:r>
    </w:p>
    <w:p w14:paraId="46B11123" w14:textId="77777777" w:rsidR="00AE1348" w:rsidRDefault="00AE1348" w:rsidP="00AE1348">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Reply to RAN4 that it’s feasible to support both ‘</w:t>
      </w:r>
      <w:r w:rsidRPr="00240C24">
        <w:rPr>
          <w:rFonts w:ascii="Times New Roman" w:eastAsiaTheme="minorEastAsia" w:hAnsi="Times New Roman" w:cs="Times New Roman"/>
          <w:b/>
          <w:i/>
        </w:rPr>
        <w:t>Increasing the number of HARQ processes</w:t>
      </w:r>
      <w:r>
        <w:rPr>
          <w:rFonts w:ascii="Times New Roman" w:eastAsiaTheme="minorEastAsia" w:hAnsi="Times New Roman" w:cs="Times New Roman"/>
          <w:b/>
          <w:i/>
        </w:rPr>
        <w:t>’ and ‘</w:t>
      </w:r>
      <w:r w:rsidRPr="00240C24">
        <w:rPr>
          <w:rFonts w:ascii="Times New Roman" w:eastAsiaTheme="minorEastAsia" w:hAnsi="Times New Roman" w:cs="Times New Roman"/>
          <w:b/>
          <w:i/>
        </w:rPr>
        <w:t>K1 range extension</w:t>
      </w:r>
      <w:r>
        <w:rPr>
          <w:rFonts w:ascii="Times New Roman" w:eastAsiaTheme="minorEastAsia" w:hAnsi="Times New Roman" w:cs="Times New Roman"/>
          <w:b/>
          <w:i/>
        </w:rPr>
        <w:t>’ for ATG band, and 2 new corresponding Rel-18 UE feature groups specific for ATG band should be defined.</w:t>
      </w:r>
    </w:p>
    <w:p w14:paraId="7AABA4CD" w14:textId="77777777" w:rsidR="00CE04E0" w:rsidRDefault="00CE04E0" w:rsidP="00CE04E0">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49A02B51" w:rsidR="001709AE" w:rsidRDefault="00CE04E0" w:rsidP="00CE04E0">
      <w:pPr>
        <w:pStyle w:val="BodyText"/>
        <w:numPr>
          <w:ilvl w:val="0"/>
          <w:numId w:val="17"/>
        </w:numPr>
        <w:snapToGrid w:val="0"/>
        <w:spacing w:before="120" w:line="268" w:lineRule="auto"/>
        <w:contextualSpacing/>
      </w:pPr>
      <w:bookmarkStart w:id="5" w:name="_Ref92304356"/>
      <w:r w:rsidRPr="00286F03">
        <w:t>R2-</w:t>
      </w:r>
      <w:r w:rsidR="000C4304" w:rsidRPr="000C4304">
        <w:t>2309797</w:t>
      </w:r>
      <w:r w:rsidRPr="00286F03">
        <w:t xml:space="preserve">, </w:t>
      </w:r>
      <w:bookmarkStart w:id="6" w:name="_Ref110267299"/>
      <w:bookmarkEnd w:id="5"/>
      <w:r w:rsidR="00313412">
        <w:t xml:space="preserve">LS on </w:t>
      </w:r>
      <w:r w:rsidR="005B0063" w:rsidRPr="005B0063">
        <w:t>UE features for NR ATG</w:t>
      </w:r>
      <w:r w:rsidRPr="00286F03">
        <w:t>, 3GPP TSG RAN WG</w:t>
      </w:r>
      <w:r w:rsidR="00E4269B">
        <w:t>4</w:t>
      </w:r>
      <w:r w:rsidRPr="00286F03">
        <w:t>#1</w:t>
      </w:r>
      <w:r w:rsidR="00E4269B">
        <w:t>07</w:t>
      </w:r>
      <w:r w:rsidRPr="00286F03">
        <w:t xml:space="preserve">, </w:t>
      </w:r>
      <w:r w:rsidR="003E2C1A">
        <w:t>May 22</w:t>
      </w:r>
      <w:r w:rsidR="003E2C1A">
        <w:rPr>
          <w:vertAlign w:val="superscript"/>
        </w:rPr>
        <w:t>nd</w:t>
      </w:r>
      <w:r w:rsidR="00BE5D64">
        <w:t xml:space="preserve"> </w:t>
      </w:r>
      <w:r w:rsidRPr="00286F03">
        <w:t>- 26</w:t>
      </w:r>
      <w:r w:rsidRPr="00BE5D64">
        <w:rPr>
          <w:vertAlign w:val="superscript"/>
        </w:rPr>
        <w:t>th</w:t>
      </w:r>
      <w:r w:rsidRPr="00286F03">
        <w:t>, 2023.</w:t>
      </w:r>
      <w:bookmarkEnd w:id="6"/>
    </w:p>
    <w:p w14:paraId="20AA9BF8" w14:textId="1950A8B8" w:rsidR="00F85FA6" w:rsidRPr="00C3176C" w:rsidRDefault="00F85FA6" w:rsidP="00CE04E0">
      <w:pPr>
        <w:pStyle w:val="BodyText"/>
        <w:numPr>
          <w:ilvl w:val="0"/>
          <w:numId w:val="17"/>
        </w:numPr>
        <w:snapToGrid w:val="0"/>
        <w:spacing w:before="120" w:line="268" w:lineRule="auto"/>
        <w:contextualSpacing/>
      </w:pPr>
      <w:bookmarkStart w:id="7" w:name="_Ref142052138"/>
      <w:r w:rsidRPr="00F85FA6">
        <w:t>TR 38.876</w:t>
      </w:r>
      <w:r w:rsidR="004268AD">
        <w:t xml:space="preserve"> </w:t>
      </w:r>
      <w:r w:rsidR="004268AD" w:rsidRPr="004268AD">
        <w:t>V0.4.0</w:t>
      </w:r>
      <w:r>
        <w:t xml:space="preserve">, </w:t>
      </w:r>
      <w:r w:rsidRPr="00F85FA6">
        <w:t>Study on Air-to-ground network for NR</w:t>
      </w:r>
      <w:r>
        <w:t xml:space="preserve"> </w:t>
      </w:r>
      <w:r w:rsidRPr="00F85FA6">
        <w:t>(Release 18)</w:t>
      </w:r>
      <w:r>
        <w:t xml:space="preserve">, </w:t>
      </w:r>
      <w:r w:rsidR="00612EBD">
        <w:t xml:space="preserve">May, </w:t>
      </w:r>
      <w:r w:rsidRPr="00F85FA6">
        <w:t>2023</w:t>
      </w:r>
      <w:r>
        <w:t>.</w:t>
      </w:r>
      <w:bookmarkEnd w:id="7"/>
    </w:p>
    <w:sectPr w:rsidR="00F85FA6" w:rsidRPr="00C3176C"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64E4" w14:textId="77777777" w:rsidR="00C22127" w:rsidRDefault="00C22127">
      <w:pPr>
        <w:spacing w:before="120" w:after="0"/>
      </w:pPr>
      <w:r>
        <w:separator/>
      </w:r>
    </w:p>
  </w:endnote>
  <w:endnote w:type="continuationSeparator" w:id="0">
    <w:p w14:paraId="737CD469" w14:textId="77777777" w:rsidR="00C22127" w:rsidRDefault="00C22127">
      <w:pPr>
        <w:spacing w:before="120" w:after="0"/>
      </w:pPr>
      <w:r>
        <w:continuationSeparator/>
      </w:r>
    </w:p>
  </w:endnote>
  <w:endnote w:type="continuationNotice" w:id="1">
    <w:p w14:paraId="39CDC9F2" w14:textId="77777777" w:rsidR="00C22127" w:rsidRDefault="00C2212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307C0" w14:textId="77777777" w:rsidR="00C22127" w:rsidRDefault="00C22127">
      <w:pPr>
        <w:spacing w:before="120" w:after="0"/>
      </w:pPr>
      <w:r>
        <w:separator/>
      </w:r>
    </w:p>
  </w:footnote>
  <w:footnote w:type="continuationSeparator" w:id="0">
    <w:p w14:paraId="61C287DE" w14:textId="77777777" w:rsidR="00C22127" w:rsidRDefault="00C22127">
      <w:pPr>
        <w:spacing w:before="120" w:after="0"/>
      </w:pPr>
      <w:r>
        <w:continuationSeparator/>
      </w:r>
    </w:p>
  </w:footnote>
  <w:footnote w:type="continuationNotice" w:id="1">
    <w:p w14:paraId="6F61A80C" w14:textId="77777777" w:rsidR="00C22127" w:rsidRDefault="00C2212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9E62F4"/>
    <w:multiLevelType w:val="hybridMultilevel"/>
    <w:tmpl w:val="D1ECDE1E"/>
    <w:lvl w:ilvl="0" w:tplc="A7EA6EA8">
      <w:start w:val="1"/>
      <w:numFmt w:val="bullet"/>
      <w:lvlText w:val="•"/>
      <w:lvlJc w:val="left"/>
      <w:pPr>
        <w:tabs>
          <w:tab w:val="num" w:pos="360"/>
        </w:tabs>
        <w:ind w:left="360" w:hanging="360"/>
      </w:pPr>
      <w:rPr>
        <w:rFonts w:ascii="Arial" w:hAnsi="Arial" w:hint="default"/>
      </w:rPr>
    </w:lvl>
    <w:lvl w:ilvl="1" w:tplc="8A08F9E4">
      <w:start w:val="1"/>
      <w:numFmt w:val="bullet"/>
      <w:lvlText w:val="•"/>
      <w:lvlJc w:val="left"/>
      <w:pPr>
        <w:tabs>
          <w:tab w:val="num" w:pos="1080"/>
        </w:tabs>
        <w:ind w:left="1080" w:hanging="360"/>
      </w:pPr>
      <w:rPr>
        <w:rFonts w:ascii="Arial" w:hAnsi="Arial" w:hint="default"/>
      </w:rPr>
    </w:lvl>
    <w:lvl w:ilvl="2" w:tplc="4824E8EC">
      <w:start w:val="1"/>
      <w:numFmt w:val="bullet"/>
      <w:lvlText w:val="•"/>
      <w:lvlJc w:val="left"/>
      <w:pPr>
        <w:tabs>
          <w:tab w:val="num" w:pos="1800"/>
        </w:tabs>
        <w:ind w:left="1800" w:hanging="360"/>
      </w:pPr>
      <w:rPr>
        <w:rFonts w:ascii="Arial" w:hAnsi="Arial" w:hint="default"/>
      </w:rPr>
    </w:lvl>
    <w:lvl w:ilvl="3" w:tplc="53CE6C52">
      <w:numFmt w:val="bullet"/>
      <w:lvlText w:val="•"/>
      <w:lvlJc w:val="left"/>
      <w:pPr>
        <w:tabs>
          <w:tab w:val="num" w:pos="2520"/>
        </w:tabs>
        <w:ind w:left="2520" w:hanging="360"/>
      </w:pPr>
      <w:rPr>
        <w:rFonts w:ascii="Arial" w:hAnsi="Arial" w:hint="default"/>
      </w:rPr>
    </w:lvl>
    <w:lvl w:ilvl="4" w:tplc="F6A4AA42" w:tentative="1">
      <w:start w:val="1"/>
      <w:numFmt w:val="bullet"/>
      <w:lvlText w:val="•"/>
      <w:lvlJc w:val="left"/>
      <w:pPr>
        <w:tabs>
          <w:tab w:val="num" w:pos="3240"/>
        </w:tabs>
        <w:ind w:left="3240" w:hanging="360"/>
      </w:pPr>
      <w:rPr>
        <w:rFonts w:ascii="Arial" w:hAnsi="Arial" w:hint="default"/>
      </w:rPr>
    </w:lvl>
    <w:lvl w:ilvl="5" w:tplc="41023760" w:tentative="1">
      <w:start w:val="1"/>
      <w:numFmt w:val="bullet"/>
      <w:lvlText w:val="•"/>
      <w:lvlJc w:val="left"/>
      <w:pPr>
        <w:tabs>
          <w:tab w:val="num" w:pos="3960"/>
        </w:tabs>
        <w:ind w:left="3960" w:hanging="360"/>
      </w:pPr>
      <w:rPr>
        <w:rFonts w:ascii="Arial" w:hAnsi="Arial" w:hint="default"/>
      </w:rPr>
    </w:lvl>
    <w:lvl w:ilvl="6" w:tplc="C9A44BC8" w:tentative="1">
      <w:start w:val="1"/>
      <w:numFmt w:val="bullet"/>
      <w:lvlText w:val="•"/>
      <w:lvlJc w:val="left"/>
      <w:pPr>
        <w:tabs>
          <w:tab w:val="num" w:pos="4680"/>
        </w:tabs>
        <w:ind w:left="4680" w:hanging="360"/>
      </w:pPr>
      <w:rPr>
        <w:rFonts w:ascii="Arial" w:hAnsi="Arial" w:hint="default"/>
      </w:rPr>
    </w:lvl>
    <w:lvl w:ilvl="7" w:tplc="8F448972" w:tentative="1">
      <w:start w:val="1"/>
      <w:numFmt w:val="bullet"/>
      <w:lvlText w:val="•"/>
      <w:lvlJc w:val="left"/>
      <w:pPr>
        <w:tabs>
          <w:tab w:val="num" w:pos="5400"/>
        </w:tabs>
        <w:ind w:left="5400" w:hanging="360"/>
      </w:pPr>
      <w:rPr>
        <w:rFonts w:ascii="Arial" w:hAnsi="Arial" w:hint="default"/>
      </w:rPr>
    </w:lvl>
    <w:lvl w:ilvl="8" w:tplc="5D04CA3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9"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4"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44"/>
  </w:num>
  <w:num w:numId="3">
    <w:abstractNumId w:val="0"/>
  </w:num>
  <w:num w:numId="4">
    <w:abstractNumId w:val="43"/>
  </w:num>
  <w:num w:numId="5">
    <w:abstractNumId w:val="36"/>
  </w:num>
  <w:num w:numId="6">
    <w:abstractNumId w:val="42"/>
  </w:num>
  <w:num w:numId="7">
    <w:abstractNumId w:val="8"/>
  </w:num>
  <w:num w:numId="8">
    <w:abstractNumId w:val="5"/>
  </w:num>
  <w:num w:numId="9">
    <w:abstractNumId w:val="14"/>
  </w:num>
  <w:num w:numId="10">
    <w:abstractNumId w:val="9"/>
  </w:num>
  <w:num w:numId="11">
    <w:abstractNumId w:val="13"/>
  </w:num>
  <w:num w:numId="12">
    <w:abstractNumId w:val="3"/>
  </w:num>
  <w:num w:numId="13">
    <w:abstractNumId w:val="19"/>
  </w:num>
  <w:num w:numId="14">
    <w:abstractNumId w:val="7"/>
  </w:num>
  <w:num w:numId="15">
    <w:abstractNumId w:val="37"/>
  </w:num>
  <w:num w:numId="16">
    <w:abstractNumId w:val="26"/>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1"/>
  </w:num>
  <w:num w:numId="20">
    <w:abstractNumId w:val="39"/>
  </w:num>
  <w:num w:numId="21">
    <w:abstractNumId w:val="41"/>
  </w:num>
  <w:num w:numId="22">
    <w:abstractNumId w:val="15"/>
  </w:num>
  <w:num w:numId="23">
    <w:abstractNumId w:val="24"/>
  </w:num>
  <w:num w:numId="24">
    <w:abstractNumId w:val="17"/>
  </w:num>
  <w:num w:numId="25">
    <w:abstractNumId w:val="6"/>
  </w:num>
  <w:num w:numId="26">
    <w:abstractNumId w:val="12"/>
  </w:num>
  <w:num w:numId="27">
    <w:abstractNumId w:val="20"/>
  </w:num>
  <w:num w:numId="28">
    <w:abstractNumId w:val="35"/>
  </w:num>
  <w:num w:numId="29">
    <w:abstractNumId w:val="33"/>
  </w:num>
  <w:num w:numId="30">
    <w:abstractNumId w:val="25"/>
  </w:num>
  <w:num w:numId="31">
    <w:abstractNumId w:val="29"/>
  </w:num>
  <w:num w:numId="32">
    <w:abstractNumId w:val="28"/>
  </w:num>
  <w:num w:numId="33">
    <w:abstractNumId w:val="1"/>
  </w:num>
  <w:num w:numId="34">
    <w:abstractNumId w:val="11"/>
  </w:num>
  <w:num w:numId="35">
    <w:abstractNumId w:val="38"/>
  </w:num>
  <w:num w:numId="36">
    <w:abstractNumId w:val="30"/>
  </w:num>
  <w:num w:numId="37">
    <w:abstractNumId w:val="32"/>
  </w:num>
  <w:num w:numId="38">
    <w:abstractNumId w:val="18"/>
  </w:num>
  <w:num w:numId="39">
    <w:abstractNumId w:val="27"/>
  </w:num>
  <w:num w:numId="40">
    <w:abstractNumId w:val="4"/>
  </w:num>
  <w:num w:numId="41">
    <w:abstractNumId w:val="2"/>
  </w:num>
  <w:num w:numId="42">
    <w:abstractNumId w:val="22"/>
  </w:num>
  <w:num w:numId="43">
    <w:abstractNumId w:val="10"/>
  </w:num>
  <w:num w:numId="44">
    <w:abstractNumId w:val="40"/>
  </w:num>
  <w:num w:numId="45">
    <w:abstractNumId w:val="23"/>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5E9"/>
    <w:rsid w:val="00003A16"/>
    <w:rsid w:val="00003AFD"/>
    <w:rsid w:val="00003CAB"/>
    <w:rsid w:val="00003DA0"/>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9B4"/>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837"/>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15"/>
    <w:rsid w:val="00065022"/>
    <w:rsid w:val="00065130"/>
    <w:rsid w:val="00065677"/>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9A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3CB9"/>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528"/>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304"/>
    <w:rsid w:val="000C448E"/>
    <w:rsid w:val="000C45AC"/>
    <w:rsid w:val="000C45E8"/>
    <w:rsid w:val="000C4759"/>
    <w:rsid w:val="000C5395"/>
    <w:rsid w:val="000C5BFC"/>
    <w:rsid w:val="000C5F9A"/>
    <w:rsid w:val="000C6084"/>
    <w:rsid w:val="000C6303"/>
    <w:rsid w:val="000C65A9"/>
    <w:rsid w:val="000C6A1D"/>
    <w:rsid w:val="000C6C83"/>
    <w:rsid w:val="000C6CA7"/>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B6"/>
    <w:rsid w:val="000E716D"/>
    <w:rsid w:val="000E7503"/>
    <w:rsid w:val="000E7848"/>
    <w:rsid w:val="000F01C3"/>
    <w:rsid w:val="000F04C8"/>
    <w:rsid w:val="000F0593"/>
    <w:rsid w:val="000F0865"/>
    <w:rsid w:val="000F0DB3"/>
    <w:rsid w:val="000F1AE1"/>
    <w:rsid w:val="000F1D22"/>
    <w:rsid w:val="000F1D5C"/>
    <w:rsid w:val="000F1F36"/>
    <w:rsid w:val="000F20E6"/>
    <w:rsid w:val="000F21B3"/>
    <w:rsid w:val="000F2400"/>
    <w:rsid w:val="000F2548"/>
    <w:rsid w:val="000F2711"/>
    <w:rsid w:val="000F293C"/>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2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01"/>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6D7E"/>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C7"/>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E2C"/>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13"/>
    <w:rsid w:val="0020503E"/>
    <w:rsid w:val="00205120"/>
    <w:rsid w:val="00205C73"/>
    <w:rsid w:val="00205E93"/>
    <w:rsid w:val="00205EB9"/>
    <w:rsid w:val="00205F7D"/>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5BA"/>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C96"/>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0C24"/>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9B4"/>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2D"/>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5EF2"/>
    <w:rsid w:val="002862B5"/>
    <w:rsid w:val="00286497"/>
    <w:rsid w:val="0028655C"/>
    <w:rsid w:val="00286674"/>
    <w:rsid w:val="002868DD"/>
    <w:rsid w:val="00286968"/>
    <w:rsid w:val="002869F3"/>
    <w:rsid w:val="00286CEA"/>
    <w:rsid w:val="00286F03"/>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6A6"/>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8F8"/>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79"/>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982"/>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12"/>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17FA1"/>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100"/>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0E27"/>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87B1B"/>
    <w:rsid w:val="003902E0"/>
    <w:rsid w:val="00390451"/>
    <w:rsid w:val="00390925"/>
    <w:rsid w:val="00390ED8"/>
    <w:rsid w:val="00391245"/>
    <w:rsid w:val="003914A7"/>
    <w:rsid w:val="0039166F"/>
    <w:rsid w:val="003916E0"/>
    <w:rsid w:val="00392876"/>
    <w:rsid w:val="00392EDF"/>
    <w:rsid w:val="00393153"/>
    <w:rsid w:val="003938B4"/>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53A"/>
    <w:rsid w:val="003A18D3"/>
    <w:rsid w:val="003A1C0A"/>
    <w:rsid w:val="003A1F2F"/>
    <w:rsid w:val="003A203C"/>
    <w:rsid w:val="003A23ED"/>
    <w:rsid w:val="003A2413"/>
    <w:rsid w:val="003A295E"/>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A2B"/>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C82"/>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C1A"/>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1E5"/>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B29"/>
    <w:rsid w:val="00403E92"/>
    <w:rsid w:val="00403F09"/>
    <w:rsid w:val="0040419D"/>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5C8"/>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8AD"/>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0B8"/>
    <w:rsid w:val="00433114"/>
    <w:rsid w:val="00433401"/>
    <w:rsid w:val="0043348C"/>
    <w:rsid w:val="004335DB"/>
    <w:rsid w:val="00433842"/>
    <w:rsid w:val="00433C58"/>
    <w:rsid w:val="004345CE"/>
    <w:rsid w:val="00434924"/>
    <w:rsid w:val="00434968"/>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04"/>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351"/>
    <w:rsid w:val="0047290C"/>
    <w:rsid w:val="00472A02"/>
    <w:rsid w:val="004733CA"/>
    <w:rsid w:val="00473DE8"/>
    <w:rsid w:val="00473E46"/>
    <w:rsid w:val="00474017"/>
    <w:rsid w:val="004741D4"/>
    <w:rsid w:val="00474377"/>
    <w:rsid w:val="00474699"/>
    <w:rsid w:val="004747AE"/>
    <w:rsid w:val="00474896"/>
    <w:rsid w:val="00474C10"/>
    <w:rsid w:val="00474F7B"/>
    <w:rsid w:val="00475097"/>
    <w:rsid w:val="004750C3"/>
    <w:rsid w:val="00475283"/>
    <w:rsid w:val="0047584D"/>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42"/>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8E7"/>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E5F"/>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EC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9BF"/>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103"/>
    <w:rsid w:val="00514D60"/>
    <w:rsid w:val="00514D8B"/>
    <w:rsid w:val="00514F88"/>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DE"/>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BB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0B"/>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A2D"/>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1A3"/>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063"/>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8"/>
    <w:rsid w:val="005C0F91"/>
    <w:rsid w:val="005C10D6"/>
    <w:rsid w:val="005C13E8"/>
    <w:rsid w:val="005C16D7"/>
    <w:rsid w:val="005C1D3D"/>
    <w:rsid w:val="005C1DE5"/>
    <w:rsid w:val="005C1E6D"/>
    <w:rsid w:val="005C1EB8"/>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9C6"/>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858"/>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884"/>
    <w:rsid w:val="005F39A8"/>
    <w:rsid w:val="005F3DF3"/>
    <w:rsid w:val="005F3E52"/>
    <w:rsid w:val="005F3EC2"/>
    <w:rsid w:val="005F478E"/>
    <w:rsid w:val="005F4B8E"/>
    <w:rsid w:val="005F56AA"/>
    <w:rsid w:val="005F5C65"/>
    <w:rsid w:val="005F5CEB"/>
    <w:rsid w:val="005F5F5D"/>
    <w:rsid w:val="005F6393"/>
    <w:rsid w:val="005F6416"/>
    <w:rsid w:val="005F64E9"/>
    <w:rsid w:val="005F68D1"/>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4C"/>
    <w:rsid w:val="00612270"/>
    <w:rsid w:val="00612453"/>
    <w:rsid w:val="006124D1"/>
    <w:rsid w:val="0061285E"/>
    <w:rsid w:val="00612975"/>
    <w:rsid w:val="006129D5"/>
    <w:rsid w:val="00612BBD"/>
    <w:rsid w:val="00612C3A"/>
    <w:rsid w:val="00612EBD"/>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454"/>
    <w:rsid w:val="00634C47"/>
    <w:rsid w:val="00634EC6"/>
    <w:rsid w:val="00635028"/>
    <w:rsid w:val="0063504B"/>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B14"/>
    <w:rsid w:val="00656C46"/>
    <w:rsid w:val="00656CAA"/>
    <w:rsid w:val="00656EC4"/>
    <w:rsid w:val="00657187"/>
    <w:rsid w:val="006576AB"/>
    <w:rsid w:val="00657B50"/>
    <w:rsid w:val="00657BFF"/>
    <w:rsid w:val="00657E55"/>
    <w:rsid w:val="00657F79"/>
    <w:rsid w:val="00660103"/>
    <w:rsid w:val="00660575"/>
    <w:rsid w:val="00660F61"/>
    <w:rsid w:val="006612ED"/>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C77"/>
    <w:rsid w:val="00665E25"/>
    <w:rsid w:val="00665E47"/>
    <w:rsid w:val="0066609E"/>
    <w:rsid w:val="0066618B"/>
    <w:rsid w:val="0066656A"/>
    <w:rsid w:val="0066687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799"/>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C1E"/>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5ED4"/>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1B5"/>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26C"/>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099"/>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6DAE"/>
    <w:rsid w:val="00727347"/>
    <w:rsid w:val="00727617"/>
    <w:rsid w:val="00727D39"/>
    <w:rsid w:val="00727D5B"/>
    <w:rsid w:val="00730843"/>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838"/>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A1A"/>
    <w:rsid w:val="007503B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2E"/>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525"/>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238"/>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35"/>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CB1"/>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E60"/>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551"/>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04F"/>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2A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78C"/>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B63"/>
    <w:rsid w:val="00832C8D"/>
    <w:rsid w:val="00832DBC"/>
    <w:rsid w:val="00833322"/>
    <w:rsid w:val="0083348D"/>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46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DE4"/>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89"/>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66"/>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D3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A9B"/>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72"/>
    <w:rsid w:val="008C5BBC"/>
    <w:rsid w:val="008C5BEE"/>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8F2"/>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98D"/>
    <w:rsid w:val="00924A8F"/>
    <w:rsid w:val="00924BF6"/>
    <w:rsid w:val="0092562D"/>
    <w:rsid w:val="009257E7"/>
    <w:rsid w:val="009260A5"/>
    <w:rsid w:val="0092657A"/>
    <w:rsid w:val="009267C2"/>
    <w:rsid w:val="009268A8"/>
    <w:rsid w:val="009268CF"/>
    <w:rsid w:val="00926BF3"/>
    <w:rsid w:val="00927063"/>
    <w:rsid w:val="009273C7"/>
    <w:rsid w:val="0092767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DD6"/>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2DA"/>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1E04"/>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4A5"/>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FD5"/>
    <w:rsid w:val="009E5087"/>
    <w:rsid w:val="009E538A"/>
    <w:rsid w:val="009E56AE"/>
    <w:rsid w:val="009E580F"/>
    <w:rsid w:val="009E590E"/>
    <w:rsid w:val="009E60CB"/>
    <w:rsid w:val="009E60EE"/>
    <w:rsid w:val="009E64C7"/>
    <w:rsid w:val="009E672D"/>
    <w:rsid w:val="009E6CD9"/>
    <w:rsid w:val="009E6F55"/>
    <w:rsid w:val="009E6FF5"/>
    <w:rsid w:val="009E722E"/>
    <w:rsid w:val="009E72E7"/>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C1"/>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355"/>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7EE"/>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8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0DD"/>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1C7"/>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C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6A"/>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7"/>
    <w:rsid w:val="00AE010C"/>
    <w:rsid w:val="00AE07D1"/>
    <w:rsid w:val="00AE0886"/>
    <w:rsid w:val="00AE0DC7"/>
    <w:rsid w:val="00AE1182"/>
    <w:rsid w:val="00AE1348"/>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9E0"/>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CAB"/>
    <w:rsid w:val="00B20E1F"/>
    <w:rsid w:val="00B2232C"/>
    <w:rsid w:val="00B22616"/>
    <w:rsid w:val="00B22A7D"/>
    <w:rsid w:val="00B22B8E"/>
    <w:rsid w:val="00B22BD3"/>
    <w:rsid w:val="00B22F84"/>
    <w:rsid w:val="00B22FEF"/>
    <w:rsid w:val="00B23314"/>
    <w:rsid w:val="00B23396"/>
    <w:rsid w:val="00B2367A"/>
    <w:rsid w:val="00B2370E"/>
    <w:rsid w:val="00B23A62"/>
    <w:rsid w:val="00B23C65"/>
    <w:rsid w:val="00B23D95"/>
    <w:rsid w:val="00B23DB3"/>
    <w:rsid w:val="00B240DA"/>
    <w:rsid w:val="00B24403"/>
    <w:rsid w:val="00B2474D"/>
    <w:rsid w:val="00B25192"/>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27F7E"/>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597"/>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E8"/>
    <w:rsid w:val="00B50B60"/>
    <w:rsid w:val="00B50D5C"/>
    <w:rsid w:val="00B51119"/>
    <w:rsid w:val="00B518EA"/>
    <w:rsid w:val="00B52267"/>
    <w:rsid w:val="00B52337"/>
    <w:rsid w:val="00B52A28"/>
    <w:rsid w:val="00B53037"/>
    <w:rsid w:val="00B5314F"/>
    <w:rsid w:val="00B5334F"/>
    <w:rsid w:val="00B533E9"/>
    <w:rsid w:val="00B53683"/>
    <w:rsid w:val="00B5386B"/>
    <w:rsid w:val="00B5386C"/>
    <w:rsid w:val="00B539D6"/>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0BDF"/>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FD"/>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B6B"/>
    <w:rsid w:val="00B85F81"/>
    <w:rsid w:val="00B860DB"/>
    <w:rsid w:val="00B863CB"/>
    <w:rsid w:val="00B8641F"/>
    <w:rsid w:val="00B864F3"/>
    <w:rsid w:val="00B866E3"/>
    <w:rsid w:val="00B86890"/>
    <w:rsid w:val="00B86973"/>
    <w:rsid w:val="00B86D13"/>
    <w:rsid w:val="00B86F54"/>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0DA"/>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AA6"/>
    <w:rsid w:val="00BE4D14"/>
    <w:rsid w:val="00BE4FF8"/>
    <w:rsid w:val="00BE5320"/>
    <w:rsid w:val="00BE57A3"/>
    <w:rsid w:val="00BE5981"/>
    <w:rsid w:val="00BE5D64"/>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127"/>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06E"/>
    <w:rsid w:val="00C27320"/>
    <w:rsid w:val="00C27430"/>
    <w:rsid w:val="00C2751D"/>
    <w:rsid w:val="00C3012A"/>
    <w:rsid w:val="00C30248"/>
    <w:rsid w:val="00C305C6"/>
    <w:rsid w:val="00C3066B"/>
    <w:rsid w:val="00C30BE5"/>
    <w:rsid w:val="00C30FEA"/>
    <w:rsid w:val="00C3105B"/>
    <w:rsid w:val="00C316DD"/>
    <w:rsid w:val="00C3176C"/>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275"/>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60A"/>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951"/>
    <w:rsid w:val="00C70DC3"/>
    <w:rsid w:val="00C711D1"/>
    <w:rsid w:val="00C715D0"/>
    <w:rsid w:val="00C715EF"/>
    <w:rsid w:val="00C71A86"/>
    <w:rsid w:val="00C71FE4"/>
    <w:rsid w:val="00C720CF"/>
    <w:rsid w:val="00C72116"/>
    <w:rsid w:val="00C72305"/>
    <w:rsid w:val="00C7239E"/>
    <w:rsid w:val="00C72785"/>
    <w:rsid w:val="00C727A2"/>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8C7"/>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283"/>
    <w:rsid w:val="00CB4B58"/>
    <w:rsid w:val="00CB5115"/>
    <w:rsid w:val="00CB5755"/>
    <w:rsid w:val="00CB601C"/>
    <w:rsid w:val="00CB60D8"/>
    <w:rsid w:val="00CB6199"/>
    <w:rsid w:val="00CB636A"/>
    <w:rsid w:val="00CB645D"/>
    <w:rsid w:val="00CB64A1"/>
    <w:rsid w:val="00CB657C"/>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219"/>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4E0"/>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045"/>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2E8"/>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317"/>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3F8C"/>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158"/>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5EB"/>
    <w:rsid w:val="00D9194E"/>
    <w:rsid w:val="00D91A37"/>
    <w:rsid w:val="00D91B4E"/>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020"/>
    <w:rsid w:val="00D951E9"/>
    <w:rsid w:val="00D9527E"/>
    <w:rsid w:val="00D953CC"/>
    <w:rsid w:val="00D955E4"/>
    <w:rsid w:val="00D95659"/>
    <w:rsid w:val="00D9602E"/>
    <w:rsid w:val="00D96197"/>
    <w:rsid w:val="00D96967"/>
    <w:rsid w:val="00D96D02"/>
    <w:rsid w:val="00D96EBB"/>
    <w:rsid w:val="00D97395"/>
    <w:rsid w:val="00DA007D"/>
    <w:rsid w:val="00DA0DCC"/>
    <w:rsid w:val="00DA0E65"/>
    <w:rsid w:val="00DA11BD"/>
    <w:rsid w:val="00DA126A"/>
    <w:rsid w:val="00DA1290"/>
    <w:rsid w:val="00DA1467"/>
    <w:rsid w:val="00DA14AA"/>
    <w:rsid w:val="00DA1770"/>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CB5"/>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20"/>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4EA"/>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9B"/>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D8"/>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9CF"/>
    <w:rsid w:val="00E94E67"/>
    <w:rsid w:val="00E952ED"/>
    <w:rsid w:val="00E955D8"/>
    <w:rsid w:val="00E95F7D"/>
    <w:rsid w:val="00E95FEF"/>
    <w:rsid w:val="00E9601E"/>
    <w:rsid w:val="00E9638E"/>
    <w:rsid w:val="00E96498"/>
    <w:rsid w:val="00E968D1"/>
    <w:rsid w:val="00E96D59"/>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115"/>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16D"/>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0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A5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131"/>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96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D51"/>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15E"/>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E5E"/>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0FA7"/>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381"/>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5FA6"/>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259"/>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BC2"/>
    <w:rsid w:val="00FE4E69"/>
    <w:rsid w:val="00FE51BB"/>
    <w:rsid w:val="00FE545E"/>
    <w:rsid w:val="00FE570B"/>
    <w:rsid w:val="00FE5797"/>
    <w:rsid w:val="00FE588B"/>
    <w:rsid w:val="00FE5ABF"/>
    <w:rsid w:val="00FE5AF3"/>
    <w:rsid w:val="00FE60C2"/>
    <w:rsid w:val="00FE6145"/>
    <w:rsid w:val="00FE67CF"/>
    <w:rsid w:val="00FE68A4"/>
    <w:rsid w:val="00FE69FB"/>
    <w:rsid w:val="00FE6A42"/>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34"/>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TAL">
    <w:name w:val="TAL"/>
    <w:basedOn w:val="Normal"/>
    <w:link w:val="TALCar"/>
    <w:qFormat/>
    <w:rsid w:val="00EF1A5A"/>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basedOn w:val="DefaultParagraphFont"/>
    <w:link w:val="TAL"/>
    <w:qFormat/>
    <w:locked/>
    <w:rsid w:val="00EF1A5A"/>
    <w:rPr>
      <w:rFonts w:ascii="Arial" w:eastAsia="Times New Roman" w:hAnsi="Arial"/>
      <w:sz w:val="18"/>
      <w:lang w:val="en-GB" w:eastAsia="ja-JP"/>
    </w:rPr>
  </w:style>
  <w:style w:type="character" w:customStyle="1" w:styleId="TAHCar">
    <w:name w:val="TAH Car"/>
    <w:link w:val="TAH"/>
    <w:qFormat/>
    <w:rsid w:val="0070009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7449693">
      <w:bodyDiv w:val="1"/>
      <w:marLeft w:val="0"/>
      <w:marRight w:val="0"/>
      <w:marTop w:val="0"/>
      <w:marBottom w:val="0"/>
      <w:divBdr>
        <w:top w:val="none" w:sz="0" w:space="0" w:color="auto"/>
        <w:left w:val="none" w:sz="0" w:space="0" w:color="auto"/>
        <w:bottom w:val="none" w:sz="0" w:space="0" w:color="auto"/>
        <w:right w:val="none" w:sz="0" w:space="0" w:color="auto"/>
      </w:divBdr>
      <w:divsChild>
        <w:div w:id="968314976">
          <w:marLeft w:val="1080"/>
          <w:marRight w:val="0"/>
          <w:marTop w:val="0"/>
          <w:marBottom w:val="0"/>
          <w:divBdr>
            <w:top w:val="none" w:sz="0" w:space="0" w:color="auto"/>
            <w:left w:val="none" w:sz="0" w:space="0" w:color="auto"/>
            <w:bottom w:val="none" w:sz="0" w:space="0" w:color="auto"/>
            <w:right w:val="none" w:sz="0" w:space="0" w:color="auto"/>
          </w:divBdr>
        </w:div>
        <w:div w:id="48505814">
          <w:marLeft w:val="1800"/>
          <w:marRight w:val="0"/>
          <w:marTop w:val="0"/>
          <w:marBottom w:val="0"/>
          <w:divBdr>
            <w:top w:val="none" w:sz="0" w:space="0" w:color="auto"/>
            <w:left w:val="none" w:sz="0" w:space="0" w:color="auto"/>
            <w:bottom w:val="none" w:sz="0" w:space="0" w:color="auto"/>
            <w:right w:val="none" w:sz="0" w:space="0" w:color="auto"/>
          </w:divBdr>
        </w:div>
        <w:div w:id="1889415715">
          <w:marLeft w:val="1800"/>
          <w:marRight w:val="0"/>
          <w:marTop w:val="0"/>
          <w:marBottom w:val="0"/>
          <w:divBdr>
            <w:top w:val="none" w:sz="0" w:space="0" w:color="auto"/>
            <w:left w:val="none" w:sz="0" w:space="0" w:color="auto"/>
            <w:bottom w:val="none" w:sz="0" w:space="0" w:color="auto"/>
            <w:right w:val="none" w:sz="0" w:space="0" w:color="auto"/>
          </w:divBdr>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www.w3.org/XML/1998/namespace"/>
    <ds:schemaRef ds:uri="1c248485-b98a-4513-a581-ff7cb1688d78"/>
    <ds:schemaRef ds:uri="http://purl.org/dc/elements/1.1/"/>
    <ds:schemaRef ds:uri="http://purl.org/dc/dcmitype/"/>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245</cp:revision>
  <dcterms:created xsi:type="dcterms:W3CDTF">2023-05-10T01:54:00Z</dcterms:created>
  <dcterms:modified xsi:type="dcterms:W3CDTF">2023-08-11T01:54:00Z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